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768DC" w14:textId="278701B6" w:rsidR="00937D5F" w:rsidRDefault="003F2309" w:rsidP="00937D5F">
      <w:r>
        <w:t>REECRITURE</w:t>
      </w:r>
      <w:r w:rsidR="00937D5F">
        <w:t xml:space="preserve"> </w:t>
      </w:r>
      <w:r>
        <w:t>Sources:</w:t>
      </w:r>
    </w:p>
    <w:p w14:paraId="1C2EC094" w14:textId="77777777" w:rsidR="00937D5F" w:rsidRPr="00707F71" w:rsidRDefault="00937D5F" w:rsidP="00937D5F">
      <w:pPr>
        <w:spacing w:line="276" w:lineRule="auto"/>
      </w:pPr>
      <w:r w:rsidRPr="00937D5F">
        <w:rPr>
          <w:i/>
        </w:rPr>
        <w:t>The Learning Process Model for Intercultural Partnerships</w:t>
      </w:r>
      <w:r>
        <w:rPr>
          <w:i/>
        </w:rPr>
        <w:t xml:space="preserve"> </w:t>
      </w:r>
      <w:r>
        <w:t xml:space="preserve">by </w:t>
      </w:r>
      <w:r w:rsidRPr="00707F71">
        <w:t>Stuart Reid</w:t>
      </w:r>
      <w:r>
        <w:t xml:space="preserve">, </w:t>
      </w:r>
      <w:r w:rsidRPr="00707F71">
        <w:t>University of Warwick</w:t>
      </w:r>
      <w:r>
        <w:t xml:space="preserve"> (2009)</w:t>
      </w:r>
    </w:p>
    <w:p w14:paraId="489E9C85" w14:textId="77777777" w:rsidR="00937D5F" w:rsidRDefault="00937D5F"/>
    <w:tbl>
      <w:tblPr>
        <w:tblStyle w:val="Grilledutableau"/>
        <w:tblW w:w="0" w:type="auto"/>
        <w:tblLook w:val="04A0" w:firstRow="1" w:lastRow="0" w:firstColumn="1" w:lastColumn="0" w:noHBand="0" w:noVBand="1"/>
      </w:tblPr>
      <w:tblGrid>
        <w:gridCol w:w="846"/>
        <w:gridCol w:w="8170"/>
      </w:tblGrid>
      <w:tr w:rsidR="00B60AC6" w:rsidRPr="003F2309" w14:paraId="31E0E412" w14:textId="77777777" w:rsidTr="00B60AC6">
        <w:tc>
          <w:tcPr>
            <w:tcW w:w="846" w:type="dxa"/>
          </w:tcPr>
          <w:p w14:paraId="07E78159" w14:textId="77777777" w:rsidR="00B60AC6" w:rsidRPr="003F2309" w:rsidRDefault="00B60AC6" w:rsidP="00B60AC6">
            <w:pPr>
              <w:pStyle w:val="Paragraphedeliste"/>
              <w:numPr>
                <w:ilvl w:val="0"/>
                <w:numId w:val="1"/>
              </w:numPr>
              <w:ind w:left="447"/>
              <w:rPr>
                <w:sz w:val="22"/>
              </w:rPr>
            </w:pPr>
          </w:p>
        </w:tc>
        <w:tc>
          <w:tcPr>
            <w:tcW w:w="8170" w:type="dxa"/>
          </w:tcPr>
          <w:p w14:paraId="7865E301" w14:textId="77777777" w:rsidR="003F2309" w:rsidRPr="00F23946"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F23946">
              <w:rPr>
                <w:rFonts w:eastAsia="Times New Roman"/>
                <w:color w:val="212121"/>
                <w:sz w:val="22"/>
                <w:szCs w:val="20"/>
                <w:lang w:val="fr-FR" w:eastAsia="fr-FR"/>
              </w:rPr>
              <w:t>La culture n'est donc pas figée ni imposée mais elle est constamment faite et refaite en interaction</w:t>
            </w:r>
          </w:p>
          <w:p w14:paraId="2D91150A" w14:textId="77777777" w:rsidR="00937D5F" w:rsidRPr="003F2309" w:rsidRDefault="00937D5F">
            <w:pPr>
              <w:rPr>
                <w:sz w:val="22"/>
                <w:lang w:val="fr-FR"/>
              </w:rPr>
            </w:pPr>
          </w:p>
        </w:tc>
      </w:tr>
      <w:tr w:rsidR="00B60AC6" w:rsidRPr="003F2309" w14:paraId="038BEF28" w14:textId="77777777" w:rsidTr="00B60AC6">
        <w:tc>
          <w:tcPr>
            <w:tcW w:w="846" w:type="dxa"/>
          </w:tcPr>
          <w:p w14:paraId="1B9A4C4D" w14:textId="77777777" w:rsidR="00B60AC6" w:rsidRPr="003F2309" w:rsidRDefault="00B60AC6" w:rsidP="00B60AC6">
            <w:pPr>
              <w:pStyle w:val="Paragraphedeliste"/>
              <w:numPr>
                <w:ilvl w:val="0"/>
                <w:numId w:val="1"/>
              </w:numPr>
              <w:ind w:left="447"/>
              <w:rPr>
                <w:sz w:val="22"/>
                <w:lang w:val="fr-FR"/>
              </w:rPr>
            </w:pPr>
          </w:p>
        </w:tc>
        <w:tc>
          <w:tcPr>
            <w:tcW w:w="8170" w:type="dxa"/>
          </w:tcPr>
          <w:p w14:paraId="6E1F4FA0" w14:textId="77777777" w:rsidR="003F2309" w:rsidRPr="00F23946"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F23946">
              <w:rPr>
                <w:rFonts w:eastAsia="Times New Roman"/>
                <w:color w:val="212121"/>
                <w:sz w:val="22"/>
                <w:szCs w:val="20"/>
                <w:lang w:val="fr-FR" w:eastAsia="fr-FR"/>
              </w:rPr>
              <w:t>Les participants à la collaboration interculturelle peuvent opérer avec des stéréotypes d'une autre culture qui prédéterminent leur propre comportement et peuvent entraver leur capacité à apprendre de la rencontre de manière ouverte et réactive. En effet, la recherche de Francis (1991) suggère que certains comportements de modélisation basés sur des stéréotypes culturels peuvent être contre-productifs dans l'interaction interculturelle</w:t>
            </w:r>
          </w:p>
          <w:p w14:paraId="56D9FB56" w14:textId="77777777" w:rsidR="00B60AC6" w:rsidRPr="003F2309" w:rsidRDefault="00B60AC6">
            <w:pPr>
              <w:rPr>
                <w:sz w:val="22"/>
                <w:lang w:val="fr-FR"/>
              </w:rPr>
            </w:pPr>
          </w:p>
        </w:tc>
      </w:tr>
      <w:tr w:rsidR="00B60AC6" w:rsidRPr="003F2309" w14:paraId="666EFCF8" w14:textId="77777777" w:rsidTr="00B60AC6">
        <w:tc>
          <w:tcPr>
            <w:tcW w:w="846" w:type="dxa"/>
          </w:tcPr>
          <w:p w14:paraId="2A628E00" w14:textId="77777777" w:rsidR="00B60AC6" w:rsidRPr="003F2309" w:rsidRDefault="00B60AC6" w:rsidP="00B60AC6">
            <w:pPr>
              <w:pStyle w:val="Paragraphedeliste"/>
              <w:numPr>
                <w:ilvl w:val="0"/>
                <w:numId w:val="1"/>
              </w:numPr>
              <w:ind w:left="447"/>
              <w:rPr>
                <w:sz w:val="22"/>
                <w:lang w:val="fr-FR"/>
              </w:rPr>
            </w:pPr>
          </w:p>
        </w:tc>
        <w:tc>
          <w:tcPr>
            <w:tcW w:w="8170" w:type="dxa"/>
          </w:tcPr>
          <w:p w14:paraId="4A68E0D1" w14:textId="77777777" w:rsidR="003F2309" w:rsidRPr="00F23946"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F23946">
              <w:rPr>
                <w:rFonts w:eastAsia="Times New Roman"/>
                <w:color w:val="212121"/>
                <w:sz w:val="22"/>
                <w:szCs w:val="20"/>
                <w:lang w:val="fr-FR" w:eastAsia="fr-FR"/>
              </w:rPr>
              <w:t>Dans une étude d'un partenariat entre une entreprise privée et une organisation à but non lucratif (</w:t>
            </w:r>
            <w:proofErr w:type="spellStart"/>
            <w:r w:rsidRPr="00F23946">
              <w:rPr>
                <w:rFonts w:eastAsia="Times New Roman"/>
                <w:color w:val="212121"/>
                <w:sz w:val="22"/>
                <w:szCs w:val="20"/>
                <w:lang w:val="fr-FR" w:eastAsia="fr-FR"/>
              </w:rPr>
              <w:t>Laufer</w:t>
            </w:r>
            <w:proofErr w:type="spellEnd"/>
            <w:r w:rsidRPr="00F23946">
              <w:rPr>
                <w:rFonts w:eastAsia="Times New Roman"/>
                <w:color w:val="212121"/>
                <w:sz w:val="22"/>
                <w:szCs w:val="20"/>
                <w:lang w:val="fr-FR" w:eastAsia="fr-FR"/>
              </w:rPr>
              <w:t xml:space="preserve"> Green Isaac 2004), les auteurs ont constaté que chaque partie fonctionnait avec un stéréotype de l'autre non seulement inapplicable à la collaboration, mais pouvant influencer négativement comportement envers le partenaire.</w:t>
            </w:r>
          </w:p>
          <w:p w14:paraId="50E11853" w14:textId="77777777" w:rsidR="00B60AC6" w:rsidRPr="003F2309" w:rsidRDefault="00B60AC6">
            <w:pPr>
              <w:rPr>
                <w:sz w:val="22"/>
                <w:lang w:val="fr-FR"/>
              </w:rPr>
            </w:pPr>
          </w:p>
        </w:tc>
      </w:tr>
      <w:tr w:rsidR="00B60AC6" w:rsidRPr="003F2309" w14:paraId="3D69C358" w14:textId="77777777" w:rsidTr="00B60AC6">
        <w:tc>
          <w:tcPr>
            <w:tcW w:w="846" w:type="dxa"/>
          </w:tcPr>
          <w:p w14:paraId="4AEBA79C" w14:textId="77777777" w:rsidR="00B60AC6" w:rsidRPr="003F2309" w:rsidRDefault="00B60AC6" w:rsidP="00B60AC6">
            <w:pPr>
              <w:pStyle w:val="Paragraphedeliste"/>
              <w:numPr>
                <w:ilvl w:val="0"/>
                <w:numId w:val="1"/>
              </w:numPr>
              <w:ind w:left="447"/>
              <w:rPr>
                <w:sz w:val="22"/>
                <w:lang w:val="fr-FR"/>
              </w:rPr>
            </w:pPr>
          </w:p>
        </w:tc>
        <w:tc>
          <w:tcPr>
            <w:tcW w:w="8170" w:type="dxa"/>
          </w:tcPr>
          <w:p w14:paraId="05278BBD" w14:textId="77777777" w:rsidR="003F2309" w:rsidRPr="00F23946"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F23946">
              <w:rPr>
                <w:rFonts w:eastAsia="Times New Roman"/>
                <w:color w:val="212121"/>
                <w:sz w:val="22"/>
                <w:szCs w:val="20"/>
                <w:lang w:val="fr-FR" w:eastAsia="fr-FR"/>
              </w:rPr>
              <w:t xml:space="preserve">L'étude de </w:t>
            </w:r>
            <w:proofErr w:type="spellStart"/>
            <w:r w:rsidRPr="00F23946">
              <w:rPr>
                <w:rFonts w:eastAsia="Times New Roman"/>
                <w:color w:val="212121"/>
                <w:sz w:val="22"/>
                <w:szCs w:val="20"/>
                <w:lang w:val="fr-FR" w:eastAsia="fr-FR"/>
              </w:rPr>
              <w:t>Stott</w:t>
            </w:r>
            <w:proofErr w:type="spellEnd"/>
            <w:r w:rsidRPr="00F23946">
              <w:rPr>
                <w:rFonts w:eastAsia="Times New Roman"/>
                <w:color w:val="212121"/>
                <w:sz w:val="22"/>
                <w:szCs w:val="20"/>
                <w:lang w:val="fr-FR" w:eastAsia="fr-FR"/>
              </w:rPr>
              <w:t xml:space="preserve"> sur un partenariat international infructueux a conclu que le fait de ne pas aborder une telle diversité et les stéréotypes que chaque parti a tenus à l'égard de l'autre ont contribué à l'échec du projet (</w:t>
            </w:r>
            <w:proofErr w:type="spellStart"/>
            <w:r w:rsidRPr="00F23946">
              <w:rPr>
                <w:rFonts w:eastAsia="Times New Roman"/>
                <w:color w:val="212121"/>
                <w:sz w:val="22"/>
                <w:szCs w:val="20"/>
                <w:lang w:val="fr-FR" w:eastAsia="fr-FR"/>
              </w:rPr>
              <w:t>Stott</w:t>
            </w:r>
            <w:proofErr w:type="spellEnd"/>
            <w:r w:rsidRPr="00F23946">
              <w:rPr>
                <w:rFonts w:eastAsia="Times New Roman"/>
                <w:color w:val="212121"/>
                <w:sz w:val="22"/>
                <w:szCs w:val="20"/>
                <w:lang w:val="fr-FR" w:eastAsia="fr-FR"/>
              </w:rPr>
              <w:t xml:space="preserve"> 2007).</w:t>
            </w:r>
          </w:p>
          <w:p w14:paraId="3F47B7FA" w14:textId="77777777" w:rsidR="00B60AC6" w:rsidRPr="003F2309" w:rsidRDefault="00B60AC6">
            <w:pPr>
              <w:rPr>
                <w:sz w:val="22"/>
                <w:lang w:val="fr-FR"/>
              </w:rPr>
            </w:pPr>
          </w:p>
        </w:tc>
      </w:tr>
      <w:tr w:rsidR="00B60AC6" w:rsidRPr="003F2309" w14:paraId="168730B7" w14:textId="77777777" w:rsidTr="00B60AC6">
        <w:tc>
          <w:tcPr>
            <w:tcW w:w="846" w:type="dxa"/>
          </w:tcPr>
          <w:p w14:paraId="1D77D26D" w14:textId="77777777" w:rsidR="00B60AC6" w:rsidRPr="003F2309" w:rsidRDefault="00B60AC6" w:rsidP="00B60AC6">
            <w:pPr>
              <w:pStyle w:val="Paragraphedeliste"/>
              <w:numPr>
                <w:ilvl w:val="0"/>
                <w:numId w:val="1"/>
              </w:numPr>
              <w:ind w:left="447"/>
              <w:rPr>
                <w:sz w:val="22"/>
                <w:lang w:val="fr-FR"/>
              </w:rPr>
            </w:pPr>
          </w:p>
        </w:tc>
        <w:tc>
          <w:tcPr>
            <w:tcW w:w="8170" w:type="dxa"/>
          </w:tcPr>
          <w:p w14:paraId="3F1BDF6F" w14:textId="77777777" w:rsidR="003F2309" w:rsidRPr="00F23946"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F23946">
              <w:rPr>
                <w:rFonts w:eastAsia="Times New Roman"/>
                <w:color w:val="212121"/>
                <w:sz w:val="22"/>
                <w:szCs w:val="20"/>
                <w:lang w:val="fr-FR" w:eastAsia="fr-FR"/>
              </w:rPr>
              <w:t xml:space="preserve">Dans un examen des stratégies positives de réussite dans les équipes multinationales, Gibson et </w:t>
            </w:r>
            <w:proofErr w:type="spellStart"/>
            <w:r w:rsidRPr="00F23946">
              <w:rPr>
                <w:rFonts w:eastAsia="Times New Roman"/>
                <w:color w:val="212121"/>
                <w:sz w:val="22"/>
                <w:szCs w:val="20"/>
                <w:lang w:val="fr-FR" w:eastAsia="fr-FR"/>
              </w:rPr>
              <w:t>Grubb</w:t>
            </w:r>
            <w:proofErr w:type="spellEnd"/>
            <w:r w:rsidRPr="00F23946">
              <w:rPr>
                <w:rFonts w:eastAsia="Times New Roman"/>
                <w:color w:val="212121"/>
                <w:sz w:val="22"/>
                <w:szCs w:val="20"/>
                <w:lang w:val="fr-FR" w:eastAsia="fr-FR"/>
              </w:rPr>
              <w:t xml:space="preserve"> (2005) proposent que «la suspension des attributions stéréotypées nationales favorise la divergence transnationale des idées ...»</w:t>
            </w:r>
          </w:p>
          <w:p w14:paraId="0A8E7766" w14:textId="77777777" w:rsidR="00B60AC6" w:rsidRPr="003F2309" w:rsidRDefault="00B60AC6">
            <w:pPr>
              <w:rPr>
                <w:sz w:val="22"/>
                <w:lang w:val="fr-FR"/>
              </w:rPr>
            </w:pPr>
          </w:p>
        </w:tc>
      </w:tr>
      <w:tr w:rsidR="00B60AC6" w:rsidRPr="003F2309" w14:paraId="05E3CE28" w14:textId="77777777" w:rsidTr="00B60AC6">
        <w:tc>
          <w:tcPr>
            <w:tcW w:w="846" w:type="dxa"/>
          </w:tcPr>
          <w:p w14:paraId="5B6499D8" w14:textId="77777777" w:rsidR="00B60AC6" w:rsidRPr="003F2309" w:rsidRDefault="00B60AC6" w:rsidP="00B60AC6">
            <w:pPr>
              <w:pStyle w:val="Paragraphedeliste"/>
              <w:numPr>
                <w:ilvl w:val="0"/>
                <w:numId w:val="1"/>
              </w:numPr>
              <w:ind w:left="447"/>
              <w:rPr>
                <w:sz w:val="22"/>
                <w:lang w:val="fr-FR"/>
              </w:rPr>
            </w:pPr>
          </w:p>
        </w:tc>
        <w:tc>
          <w:tcPr>
            <w:tcW w:w="8170" w:type="dxa"/>
          </w:tcPr>
          <w:p w14:paraId="7D173659" w14:textId="77777777" w:rsidR="003F2309" w:rsidRPr="00F23946"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F23946">
              <w:rPr>
                <w:rFonts w:eastAsia="Times New Roman"/>
                <w:color w:val="212121"/>
                <w:sz w:val="22"/>
                <w:szCs w:val="20"/>
                <w:lang w:val="fr-FR" w:eastAsia="fr-FR"/>
              </w:rPr>
              <w:t>Réduire le recours aux «caractéristiques» culturelles comme guide du comportement interculturel doit être contrebalancé par une attention accrue au processus d'interaction et une volonté de former des impressions de collaborateurs basées sur le comportement individuel plutôt que sur des généralisations de groupe.</w:t>
            </w:r>
          </w:p>
          <w:p w14:paraId="7E8CDE6E" w14:textId="77777777" w:rsidR="003F2309" w:rsidRPr="00F23946"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p>
          <w:p w14:paraId="632B0ECE" w14:textId="77777777" w:rsidR="00B60AC6" w:rsidRPr="003F2309" w:rsidRDefault="00B60AC6">
            <w:pPr>
              <w:rPr>
                <w:sz w:val="22"/>
                <w:lang w:val="fr-FR"/>
              </w:rPr>
            </w:pPr>
          </w:p>
        </w:tc>
      </w:tr>
      <w:tr w:rsidR="00B60AC6" w:rsidRPr="003F2309" w14:paraId="4D31C15A" w14:textId="77777777" w:rsidTr="00B60AC6">
        <w:tc>
          <w:tcPr>
            <w:tcW w:w="846" w:type="dxa"/>
          </w:tcPr>
          <w:p w14:paraId="0F68756E" w14:textId="77777777" w:rsidR="00B60AC6" w:rsidRPr="003F2309" w:rsidRDefault="00B60AC6" w:rsidP="00B60AC6">
            <w:pPr>
              <w:pStyle w:val="Paragraphedeliste"/>
              <w:numPr>
                <w:ilvl w:val="0"/>
                <w:numId w:val="1"/>
              </w:numPr>
              <w:ind w:left="447"/>
              <w:rPr>
                <w:sz w:val="22"/>
                <w:lang w:val="fr-FR"/>
              </w:rPr>
            </w:pPr>
          </w:p>
        </w:tc>
        <w:tc>
          <w:tcPr>
            <w:tcW w:w="8170" w:type="dxa"/>
          </w:tcPr>
          <w:p w14:paraId="1C446CAE" w14:textId="77777777" w:rsidR="003F2309" w:rsidRPr="00F23946"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F23946">
              <w:rPr>
                <w:rFonts w:eastAsia="Times New Roman"/>
                <w:color w:val="212121"/>
                <w:sz w:val="22"/>
                <w:szCs w:val="20"/>
                <w:lang w:val="fr-FR" w:eastAsia="fr-FR"/>
              </w:rPr>
              <w:t>l'accent [...] sur le développement de la connaissance de soi, la flexibilité et une attitude ouverte et réactive à l'interaction [est supporté]</w:t>
            </w:r>
          </w:p>
          <w:p w14:paraId="4A983B8F" w14:textId="77777777" w:rsidR="00B60AC6" w:rsidRPr="003F2309" w:rsidRDefault="00B60AC6">
            <w:pPr>
              <w:rPr>
                <w:sz w:val="22"/>
                <w:lang w:val="fr-FR"/>
              </w:rPr>
            </w:pPr>
          </w:p>
        </w:tc>
      </w:tr>
      <w:tr w:rsidR="00B60AC6" w:rsidRPr="003F2309" w14:paraId="7B4C6EA3" w14:textId="77777777" w:rsidTr="00B60AC6">
        <w:tc>
          <w:tcPr>
            <w:tcW w:w="846" w:type="dxa"/>
          </w:tcPr>
          <w:p w14:paraId="08D382D3" w14:textId="77777777" w:rsidR="00B60AC6" w:rsidRPr="003F2309" w:rsidRDefault="00B60AC6" w:rsidP="00B60AC6">
            <w:pPr>
              <w:pStyle w:val="Paragraphedeliste"/>
              <w:numPr>
                <w:ilvl w:val="0"/>
                <w:numId w:val="1"/>
              </w:numPr>
              <w:ind w:left="447"/>
              <w:rPr>
                <w:sz w:val="22"/>
                <w:lang w:val="fr-FR"/>
              </w:rPr>
            </w:pPr>
          </w:p>
        </w:tc>
        <w:tc>
          <w:tcPr>
            <w:tcW w:w="8170" w:type="dxa"/>
          </w:tcPr>
          <w:p w14:paraId="4AE8F164" w14:textId="77777777" w:rsidR="003F2309" w:rsidRPr="00F23946"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F23946">
              <w:rPr>
                <w:rFonts w:eastAsia="Times New Roman"/>
                <w:color w:val="212121"/>
                <w:sz w:val="22"/>
                <w:szCs w:val="20"/>
                <w:lang w:val="fr-FR" w:eastAsia="fr-FR"/>
              </w:rPr>
              <w:t>La sensibilisation est importante pour contrer la tendance inéluctable à regarder le monde à travers une lentille colorée par l'hypothèse que notre propre culture a «bien fait les choses» et que ses normes, comportements et valeurs sont applicables à l'échelle mondiale</w:t>
            </w:r>
          </w:p>
          <w:p w14:paraId="2079CA23" w14:textId="77777777" w:rsidR="00B60AC6" w:rsidRPr="003F2309" w:rsidRDefault="00B60AC6">
            <w:pPr>
              <w:rPr>
                <w:sz w:val="22"/>
                <w:lang w:val="fr-FR"/>
              </w:rPr>
            </w:pPr>
          </w:p>
        </w:tc>
      </w:tr>
      <w:tr w:rsidR="00B60AC6" w:rsidRPr="003F2309" w14:paraId="483424D9" w14:textId="77777777" w:rsidTr="00B60AC6">
        <w:tc>
          <w:tcPr>
            <w:tcW w:w="846" w:type="dxa"/>
          </w:tcPr>
          <w:p w14:paraId="3E3D5FD2" w14:textId="77777777" w:rsidR="00B60AC6" w:rsidRPr="003F2309" w:rsidRDefault="00B60AC6" w:rsidP="00B60AC6">
            <w:pPr>
              <w:pStyle w:val="Paragraphedeliste"/>
              <w:numPr>
                <w:ilvl w:val="0"/>
                <w:numId w:val="1"/>
              </w:numPr>
              <w:ind w:left="447"/>
              <w:rPr>
                <w:sz w:val="22"/>
                <w:lang w:val="fr-FR"/>
              </w:rPr>
            </w:pPr>
          </w:p>
        </w:tc>
        <w:tc>
          <w:tcPr>
            <w:tcW w:w="8170" w:type="dxa"/>
          </w:tcPr>
          <w:p w14:paraId="1B2A614C" w14:textId="77777777" w:rsidR="003F2309" w:rsidRPr="00F23946"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F23946">
              <w:rPr>
                <w:rFonts w:eastAsia="Times New Roman"/>
                <w:color w:val="212121"/>
                <w:sz w:val="22"/>
                <w:szCs w:val="20"/>
                <w:lang w:val="fr-FR" w:eastAsia="fr-FR"/>
              </w:rPr>
              <w:t>un degré de connaissance bien informé de ses propres influences culturelles ainsi que de ses propres tendances idiosyncratiques est nécessaire pour une auto-évaluation objective</w:t>
            </w:r>
          </w:p>
          <w:p w14:paraId="1D11A002" w14:textId="77777777" w:rsidR="00B60AC6" w:rsidRPr="003F2309" w:rsidRDefault="00B60AC6">
            <w:pPr>
              <w:rPr>
                <w:sz w:val="22"/>
                <w:lang w:val="fr-FR"/>
              </w:rPr>
            </w:pPr>
          </w:p>
        </w:tc>
      </w:tr>
      <w:tr w:rsidR="00B60AC6" w:rsidRPr="003F2309" w14:paraId="274BAE08" w14:textId="77777777" w:rsidTr="00B60AC6">
        <w:tc>
          <w:tcPr>
            <w:tcW w:w="846" w:type="dxa"/>
          </w:tcPr>
          <w:p w14:paraId="1376748C" w14:textId="77777777" w:rsidR="00B60AC6" w:rsidRPr="003F2309" w:rsidRDefault="00B60AC6" w:rsidP="00B60AC6">
            <w:pPr>
              <w:pStyle w:val="Paragraphedeliste"/>
              <w:numPr>
                <w:ilvl w:val="0"/>
                <w:numId w:val="1"/>
              </w:numPr>
              <w:ind w:left="447"/>
              <w:rPr>
                <w:sz w:val="22"/>
                <w:lang w:val="fr-FR"/>
              </w:rPr>
            </w:pPr>
          </w:p>
        </w:tc>
        <w:tc>
          <w:tcPr>
            <w:tcW w:w="8170" w:type="dxa"/>
          </w:tcPr>
          <w:p w14:paraId="6558976E" w14:textId="77777777" w:rsidR="003F2309" w:rsidRPr="00F23946"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F23946">
              <w:rPr>
                <w:rFonts w:eastAsia="Times New Roman"/>
                <w:color w:val="212121"/>
                <w:sz w:val="22"/>
                <w:szCs w:val="20"/>
                <w:lang w:val="fr-FR" w:eastAsia="fr-FR"/>
              </w:rPr>
              <w:t>Un degré élevé de conscience des différences culturelles et de la diversité globale des normes et des valeurs est également important pour établir une base bien fondée pour l'efficacité de l'interaction interculturelle</w:t>
            </w:r>
          </w:p>
          <w:p w14:paraId="3FB1E930" w14:textId="77777777" w:rsidR="00B60AC6" w:rsidRPr="003F2309" w:rsidRDefault="00B60AC6">
            <w:pPr>
              <w:rPr>
                <w:sz w:val="22"/>
                <w:lang w:val="fr-FR"/>
              </w:rPr>
            </w:pPr>
          </w:p>
        </w:tc>
      </w:tr>
    </w:tbl>
    <w:p w14:paraId="1D602959" w14:textId="77777777" w:rsidR="00937D5F" w:rsidRPr="003F2309" w:rsidRDefault="00937D5F">
      <w:pPr>
        <w:rPr>
          <w:lang w:val="fr-FR"/>
        </w:rPr>
      </w:pPr>
      <w:r w:rsidRPr="003F2309">
        <w:rPr>
          <w:lang w:val="fr-FR"/>
        </w:rPr>
        <w:br w:type="page"/>
      </w:r>
    </w:p>
    <w:tbl>
      <w:tblPr>
        <w:tblStyle w:val="Grilledutableau"/>
        <w:tblW w:w="0" w:type="auto"/>
        <w:tblLook w:val="04A0" w:firstRow="1" w:lastRow="0" w:firstColumn="1" w:lastColumn="0" w:noHBand="0" w:noVBand="1"/>
      </w:tblPr>
      <w:tblGrid>
        <w:gridCol w:w="846"/>
        <w:gridCol w:w="8170"/>
      </w:tblGrid>
      <w:tr w:rsidR="00B60AC6" w:rsidRPr="003F2309" w14:paraId="2F28739E" w14:textId="77777777" w:rsidTr="00B60AC6">
        <w:tc>
          <w:tcPr>
            <w:tcW w:w="846" w:type="dxa"/>
          </w:tcPr>
          <w:p w14:paraId="0D1EF6E7" w14:textId="77777777" w:rsidR="00B60AC6" w:rsidRPr="003F2309" w:rsidRDefault="00B60AC6" w:rsidP="00B60AC6">
            <w:pPr>
              <w:pStyle w:val="Paragraphedeliste"/>
              <w:numPr>
                <w:ilvl w:val="0"/>
                <w:numId w:val="1"/>
              </w:numPr>
              <w:ind w:left="447"/>
              <w:rPr>
                <w:lang w:val="fr-FR"/>
              </w:rPr>
            </w:pPr>
          </w:p>
        </w:tc>
        <w:tc>
          <w:tcPr>
            <w:tcW w:w="8170" w:type="dxa"/>
          </w:tcPr>
          <w:p w14:paraId="4D8F6370" w14:textId="77777777" w:rsidR="003F2309" w:rsidRPr="003F2309"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3F2309">
              <w:rPr>
                <w:rFonts w:eastAsia="Times New Roman"/>
                <w:color w:val="212121"/>
                <w:sz w:val="22"/>
                <w:szCs w:val="20"/>
                <w:lang w:val="fr-FR" w:eastAsia="fr-FR"/>
              </w:rPr>
              <w:t>Le concept de réflexion est au cœur des théories modernes de l'apprentissage</w:t>
            </w:r>
          </w:p>
          <w:p w14:paraId="77F2BEE7" w14:textId="03B839D5" w:rsidR="00B60AC6" w:rsidRPr="003F2309" w:rsidRDefault="00B60AC6"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p>
          <w:p w14:paraId="36928C98" w14:textId="77777777" w:rsidR="00B60AC6" w:rsidRPr="003F2309" w:rsidRDefault="00B60AC6"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p>
        </w:tc>
      </w:tr>
      <w:tr w:rsidR="00B60AC6" w:rsidRPr="003F2309" w14:paraId="38E97074" w14:textId="77777777" w:rsidTr="00B60AC6">
        <w:tc>
          <w:tcPr>
            <w:tcW w:w="846" w:type="dxa"/>
          </w:tcPr>
          <w:p w14:paraId="3DE84A6B" w14:textId="77777777" w:rsidR="00B60AC6" w:rsidRPr="003F2309" w:rsidRDefault="00B60AC6" w:rsidP="00B60AC6">
            <w:pPr>
              <w:pStyle w:val="Paragraphedeliste"/>
              <w:numPr>
                <w:ilvl w:val="0"/>
                <w:numId w:val="1"/>
              </w:numPr>
              <w:ind w:left="447"/>
              <w:rPr>
                <w:lang w:val="fr-FR"/>
              </w:rPr>
            </w:pPr>
          </w:p>
        </w:tc>
        <w:tc>
          <w:tcPr>
            <w:tcW w:w="8170" w:type="dxa"/>
          </w:tcPr>
          <w:p w14:paraId="62FF210D" w14:textId="77777777" w:rsidR="003F2309" w:rsidRPr="003F2309"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3F2309">
              <w:rPr>
                <w:rFonts w:eastAsia="Times New Roman"/>
                <w:color w:val="212121"/>
                <w:sz w:val="22"/>
                <w:szCs w:val="20"/>
                <w:lang w:val="fr-FR" w:eastAsia="fr-FR"/>
              </w:rPr>
              <w:t>les gestionnaires qui ont fait preuve d'un style d'apprentissage plus souple seraient plus à même de modifier leurs stéréotypes culturels à la lumière de l'expérience et pourraient ainsi être plus efficaces sur le plan interculturel.</w:t>
            </w:r>
          </w:p>
          <w:p w14:paraId="0B78EB59" w14:textId="77777777" w:rsidR="00B60AC6" w:rsidRPr="003F2309" w:rsidRDefault="00B60AC6"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p>
        </w:tc>
      </w:tr>
      <w:tr w:rsidR="00B60AC6" w:rsidRPr="003F2309" w14:paraId="0D86D835" w14:textId="77777777" w:rsidTr="00B60AC6">
        <w:tc>
          <w:tcPr>
            <w:tcW w:w="846" w:type="dxa"/>
          </w:tcPr>
          <w:p w14:paraId="6E8BD1AD" w14:textId="77777777" w:rsidR="00B60AC6" w:rsidRPr="003F2309" w:rsidRDefault="00B60AC6" w:rsidP="00B60AC6">
            <w:pPr>
              <w:pStyle w:val="Paragraphedeliste"/>
              <w:numPr>
                <w:ilvl w:val="0"/>
                <w:numId w:val="1"/>
              </w:numPr>
              <w:ind w:left="447"/>
              <w:rPr>
                <w:lang w:val="fr-FR"/>
              </w:rPr>
            </w:pPr>
          </w:p>
        </w:tc>
        <w:tc>
          <w:tcPr>
            <w:tcW w:w="8170" w:type="dxa"/>
          </w:tcPr>
          <w:p w14:paraId="6ECF2360" w14:textId="77777777" w:rsidR="003F2309" w:rsidRPr="003F2309"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3F2309">
              <w:rPr>
                <w:rFonts w:eastAsia="Times New Roman"/>
                <w:color w:val="212121"/>
                <w:sz w:val="22"/>
                <w:szCs w:val="20"/>
                <w:lang w:val="fr-FR" w:eastAsia="fr-FR"/>
              </w:rPr>
              <w:t>un apprentissage précieux peut être produit à partir d'une considération des «échecs» ou des erreurs aussi utilement que des succès évidents</w:t>
            </w:r>
          </w:p>
          <w:p w14:paraId="33A2F467" w14:textId="77777777" w:rsidR="00B60AC6" w:rsidRPr="003F2309" w:rsidRDefault="00B60AC6"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bookmarkStart w:id="0" w:name="_GoBack"/>
            <w:bookmarkEnd w:id="0"/>
          </w:p>
        </w:tc>
      </w:tr>
      <w:tr w:rsidR="00B60AC6" w:rsidRPr="003F2309" w14:paraId="27A528E5" w14:textId="77777777" w:rsidTr="00B60AC6">
        <w:tc>
          <w:tcPr>
            <w:tcW w:w="846" w:type="dxa"/>
          </w:tcPr>
          <w:p w14:paraId="092112FE" w14:textId="77777777" w:rsidR="00B60AC6" w:rsidRPr="003F2309" w:rsidRDefault="00B60AC6" w:rsidP="00B60AC6">
            <w:pPr>
              <w:pStyle w:val="Paragraphedeliste"/>
              <w:numPr>
                <w:ilvl w:val="0"/>
                <w:numId w:val="1"/>
              </w:numPr>
              <w:ind w:left="447"/>
              <w:rPr>
                <w:lang w:val="fr-FR"/>
              </w:rPr>
            </w:pPr>
          </w:p>
        </w:tc>
        <w:tc>
          <w:tcPr>
            <w:tcW w:w="8170" w:type="dxa"/>
          </w:tcPr>
          <w:p w14:paraId="41A21864" w14:textId="77777777" w:rsidR="003F2309" w:rsidRPr="003F2309"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p>
          <w:p w14:paraId="028E8A93" w14:textId="77777777" w:rsidR="003F2309" w:rsidRPr="003F2309"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3F2309">
              <w:rPr>
                <w:rFonts w:eastAsia="Times New Roman"/>
                <w:color w:val="212121"/>
                <w:sz w:val="22"/>
                <w:szCs w:val="20"/>
                <w:lang w:val="fr-FR" w:eastAsia="fr-FR"/>
              </w:rPr>
              <w:t>la valeur d'apprendre de l'expérience plutôt que de s'appuyer sur des connaissances établies, apparemment «factuelles» acquises avant la collaboration</w:t>
            </w:r>
          </w:p>
          <w:p w14:paraId="09CD64EA" w14:textId="77777777" w:rsidR="00B60AC6" w:rsidRPr="003F2309" w:rsidRDefault="00B60AC6"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p>
        </w:tc>
      </w:tr>
      <w:tr w:rsidR="00B60AC6" w:rsidRPr="003F2309" w14:paraId="040F6DBF" w14:textId="77777777" w:rsidTr="00B60AC6">
        <w:tc>
          <w:tcPr>
            <w:tcW w:w="846" w:type="dxa"/>
          </w:tcPr>
          <w:p w14:paraId="061EA266" w14:textId="77777777" w:rsidR="00B60AC6" w:rsidRPr="003F2309" w:rsidRDefault="00B60AC6" w:rsidP="00B60AC6">
            <w:pPr>
              <w:pStyle w:val="Paragraphedeliste"/>
              <w:numPr>
                <w:ilvl w:val="0"/>
                <w:numId w:val="1"/>
              </w:numPr>
              <w:ind w:left="447"/>
              <w:rPr>
                <w:lang w:val="fr-FR"/>
              </w:rPr>
            </w:pPr>
          </w:p>
        </w:tc>
        <w:tc>
          <w:tcPr>
            <w:tcW w:w="8170" w:type="dxa"/>
          </w:tcPr>
          <w:p w14:paraId="5529A7B6" w14:textId="77777777" w:rsidR="003F2309" w:rsidRPr="003F2309"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3F2309">
              <w:rPr>
                <w:rFonts w:eastAsia="Times New Roman"/>
                <w:color w:val="212121"/>
                <w:sz w:val="22"/>
                <w:szCs w:val="20"/>
                <w:lang w:val="fr-FR" w:eastAsia="fr-FR"/>
              </w:rPr>
              <w:t>des groupes d'employés coopèrent pour se concentrer sur un problème lié au travail afin de «développer leurs compétences et d'améliorer simultanément leur travail.</w:t>
            </w:r>
          </w:p>
          <w:p w14:paraId="6804326D" w14:textId="77777777" w:rsidR="00B60AC6" w:rsidRPr="003F2309" w:rsidRDefault="00B60AC6"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p>
        </w:tc>
      </w:tr>
      <w:tr w:rsidR="00B60AC6" w:rsidRPr="003F2309" w14:paraId="081C6024" w14:textId="77777777" w:rsidTr="00B60AC6">
        <w:tc>
          <w:tcPr>
            <w:tcW w:w="846" w:type="dxa"/>
          </w:tcPr>
          <w:p w14:paraId="5EF1EC4F" w14:textId="77777777" w:rsidR="00B60AC6" w:rsidRPr="003F2309" w:rsidRDefault="00B60AC6" w:rsidP="00B60AC6">
            <w:pPr>
              <w:pStyle w:val="Paragraphedeliste"/>
              <w:numPr>
                <w:ilvl w:val="0"/>
                <w:numId w:val="1"/>
              </w:numPr>
              <w:ind w:left="447"/>
              <w:rPr>
                <w:lang w:val="fr-FR"/>
              </w:rPr>
            </w:pPr>
          </w:p>
        </w:tc>
        <w:tc>
          <w:tcPr>
            <w:tcW w:w="8170" w:type="dxa"/>
          </w:tcPr>
          <w:p w14:paraId="40390148" w14:textId="77777777" w:rsidR="003F2309" w:rsidRPr="003F2309"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3F2309">
              <w:rPr>
                <w:rFonts w:eastAsia="Times New Roman"/>
                <w:color w:val="212121"/>
                <w:sz w:val="22"/>
                <w:szCs w:val="20"/>
                <w:lang w:val="fr-FR" w:eastAsia="fr-FR"/>
              </w:rPr>
              <w:t>[il y a] une prise de conscience du processus d'apprentissage et de la pratique consciente de la réflexion, à la fois individuellement et, à travers une discussion ouverte, au sein du groupe professionnel</w:t>
            </w:r>
          </w:p>
          <w:p w14:paraId="5D7261BC" w14:textId="77777777" w:rsidR="00B60AC6" w:rsidRPr="003F2309" w:rsidRDefault="00B60AC6"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p>
        </w:tc>
      </w:tr>
      <w:tr w:rsidR="00B60AC6" w:rsidRPr="003F2309" w14:paraId="55F3F552" w14:textId="77777777" w:rsidTr="00B60AC6">
        <w:tc>
          <w:tcPr>
            <w:tcW w:w="846" w:type="dxa"/>
          </w:tcPr>
          <w:p w14:paraId="43A0EC57" w14:textId="77777777" w:rsidR="00B60AC6" w:rsidRPr="003F2309" w:rsidRDefault="00B60AC6" w:rsidP="00B60AC6">
            <w:pPr>
              <w:pStyle w:val="Paragraphedeliste"/>
              <w:numPr>
                <w:ilvl w:val="0"/>
                <w:numId w:val="1"/>
              </w:numPr>
              <w:ind w:left="447"/>
              <w:rPr>
                <w:lang w:val="fr-FR"/>
              </w:rPr>
            </w:pPr>
          </w:p>
        </w:tc>
        <w:tc>
          <w:tcPr>
            <w:tcW w:w="8170" w:type="dxa"/>
          </w:tcPr>
          <w:p w14:paraId="41E86045" w14:textId="77777777" w:rsidR="003F2309" w:rsidRPr="003F2309"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3F2309">
              <w:rPr>
                <w:rFonts w:eastAsia="Times New Roman"/>
                <w:color w:val="212121"/>
                <w:sz w:val="22"/>
                <w:szCs w:val="20"/>
                <w:lang w:val="fr-FR" w:eastAsia="fr-FR"/>
              </w:rPr>
              <w:t>Les pratiques réflexives qui aident à développer les capacités d'apprentissage dans les projets comprennent l'utilisation de divers outils d'apprentissage organisationnel ... Ce sont toutes des pratiques qui permettent aux membres du projet de réfléchir aux aspects liés aux tâches et aux équipes du projet. Le but de telles pratiques est d'améliorer la performance du projet et d'affiner les capacités d'apprentissage des individus.</w:t>
            </w:r>
          </w:p>
          <w:p w14:paraId="47D51E30" w14:textId="77777777" w:rsidR="00B60AC6" w:rsidRPr="003F2309" w:rsidRDefault="00B60AC6"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p>
        </w:tc>
      </w:tr>
      <w:tr w:rsidR="00B60AC6" w:rsidRPr="003F2309" w14:paraId="4CDD4897" w14:textId="77777777" w:rsidTr="00B60AC6">
        <w:tc>
          <w:tcPr>
            <w:tcW w:w="846" w:type="dxa"/>
          </w:tcPr>
          <w:p w14:paraId="0B173B7C" w14:textId="77777777" w:rsidR="00B60AC6" w:rsidRPr="003F2309" w:rsidRDefault="00B60AC6" w:rsidP="00B60AC6">
            <w:pPr>
              <w:pStyle w:val="Paragraphedeliste"/>
              <w:numPr>
                <w:ilvl w:val="0"/>
                <w:numId w:val="1"/>
              </w:numPr>
              <w:ind w:left="447"/>
              <w:rPr>
                <w:lang w:val="fr-FR"/>
              </w:rPr>
            </w:pPr>
          </w:p>
        </w:tc>
        <w:tc>
          <w:tcPr>
            <w:tcW w:w="8170" w:type="dxa"/>
          </w:tcPr>
          <w:p w14:paraId="454276ED" w14:textId="77777777" w:rsidR="003F2309" w:rsidRPr="003F2309"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3F2309">
              <w:rPr>
                <w:rFonts w:eastAsia="Times New Roman"/>
                <w:color w:val="212121"/>
                <w:sz w:val="22"/>
                <w:szCs w:val="20"/>
                <w:lang w:val="fr-FR" w:eastAsia="fr-FR"/>
              </w:rPr>
              <w:t>Le développement de la conscience par la pratique réflexive peut amener l'apprenant au-delà du niveau de compréhension disponible grâce à l'acquisition de connaissances «externes» préétablies. Il peut permettre à l'apprenant non seulement de repenser l'expérience antérieure et de tenir pour acquis des «faits», mais aussi, potentiellement, de remettre en question et de reformuler des attitudes et des comportements plus profondément ancrés.</w:t>
            </w:r>
          </w:p>
          <w:p w14:paraId="7C0E54EF" w14:textId="77777777" w:rsidR="00B60AC6" w:rsidRPr="003F2309" w:rsidRDefault="00B60AC6"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p>
        </w:tc>
      </w:tr>
      <w:tr w:rsidR="00B60AC6" w:rsidRPr="003F2309" w14:paraId="719D335C" w14:textId="77777777" w:rsidTr="00B60AC6">
        <w:tc>
          <w:tcPr>
            <w:tcW w:w="846" w:type="dxa"/>
          </w:tcPr>
          <w:p w14:paraId="603694C2" w14:textId="77777777" w:rsidR="00B60AC6" w:rsidRPr="003F2309" w:rsidRDefault="00B60AC6" w:rsidP="00B60AC6">
            <w:pPr>
              <w:pStyle w:val="Paragraphedeliste"/>
              <w:numPr>
                <w:ilvl w:val="0"/>
                <w:numId w:val="1"/>
              </w:numPr>
              <w:ind w:left="447"/>
              <w:rPr>
                <w:lang w:val="fr-FR"/>
              </w:rPr>
            </w:pPr>
          </w:p>
        </w:tc>
        <w:tc>
          <w:tcPr>
            <w:tcW w:w="8170" w:type="dxa"/>
          </w:tcPr>
          <w:p w14:paraId="0DF94B85" w14:textId="77777777" w:rsidR="003F2309" w:rsidRPr="003F2309"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p>
          <w:p w14:paraId="2FD2F240" w14:textId="77777777" w:rsidR="003F2309" w:rsidRPr="003F2309"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3F2309">
              <w:rPr>
                <w:rFonts w:eastAsia="Times New Roman"/>
                <w:color w:val="212121"/>
                <w:sz w:val="22"/>
                <w:szCs w:val="20"/>
                <w:lang w:val="fr-FR" w:eastAsia="fr-FR"/>
              </w:rPr>
              <w:t>En adoptant un modèle analytique de recherche collaborative basé sur un modèle de cycle de vie de projet, les auteurs approuvent des études antérieures sur la recherche collaborative et identifient la réflexivité comme un processus crucial pour la construction de l'efficacité interculturelle.</w:t>
            </w:r>
          </w:p>
          <w:p w14:paraId="747CC4F7" w14:textId="77777777" w:rsidR="00B60AC6" w:rsidRPr="003F2309" w:rsidRDefault="00B60AC6"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p>
        </w:tc>
      </w:tr>
      <w:tr w:rsidR="00B60AC6" w:rsidRPr="003F2309" w14:paraId="611BDA9B" w14:textId="77777777" w:rsidTr="00B60AC6">
        <w:tc>
          <w:tcPr>
            <w:tcW w:w="846" w:type="dxa"/>
          </w:tcPr>
          <w:p w14:paraId="36C84589" w14:textId="77777777" w:rsidR="00B60AC6" w:rsidRPr="003F2309" w:rsidRDefault="00B60AC6" w:rsidP="00B60AC6">
            <w:pPr>
              <w:pStyle w:val="Paragraphedeliste"/>
              <w:numPr>
                <w:ilvl w:val="0"/>
                <w:numId w:val="1"/>
              </w:numPr>
              <w:ind w:left="447"/>
              <w:rPr>
                <w:lang w:val="fr-FR"/>
              </w:rPr>
            </w:pPr>
          </w:p>
        </w:tc>
        <w:tc>
          <w:tcPr>
            <w:tcW w:w="8170" w:type="dxa"/>
          </w:tcPr>
          <w:p w14:paraId="3AB80A24" w14:textId="77777777" w:rsidR="003F2309" w:rsidRPr="003F2309"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p>
          <w:p w14:paraId="4169D00F" w14:textId="77777777" w:rsidR="003F2309" w:rsidRPr="003F2309" w:rsidRDefault="003F2309"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r w:rsidRPr="003F2309">
              <w:rPr>
                <w:rFonts w:eastAsia="Times New Roman"/>
                <w:color w:val="212121"/>
                <w:sz w:val="22"/>
                <w:szCs w:val="20"/>
                <w:lang w:val="fr-FR" w:eastAsia="fr-FR"/>
              </w:rPr>
              <w:t>l'efficacité peut être améliorée par un processus conscient de réflexion individuelle et de groupe et de recherche d'intégration de l'apprentissage expérientiel dans les pratiques de l'équipe et, en fait, de l'organisation au sens large.</w:t>
            </w:r>
          </w:p>
          <w:p w14:paraId="434FA28D" w14:textId="77777777" w:rsidR="00B60AC6" w:rsidRPr="003F2309" w:rsidRDefault="00B60AC6" w:rsidP="003F2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22"/>
                <w:szCs w:val="20"/>
                <w:lang w:val="fr-FR" w:eastAsia="fr-FR"/>
              </w:rPr>
            </w:pPr>
          </w:p>
        </w:tc>
      </w:tr>
    </w:tbl>
    <w:p w14:paraId="049E4EEB" w14:textId="77777777" w:rsidR="00B60AC6" w:rsidRPr="003F2309" w:rsidRDefault="00B60AC6">
      <w:pPr>
        <w:rPr>
          <w:lang w:val="fr-FR"/>
        </w:rPr>
      </w:pPr>
    </w:p>
    <w:sectPr w:rsidR="00B60AC6" w:rsidRPr="003F2309" w:rsidSect="00937D5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E050D"/>
    <w:multiLevelType w:val="hybridMultilevel"/>
    <w:tmpl w:val="EB0E2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D4"/>
    <w:rsid w:val="00286BD4"/>
    <w:rsid w:val="003F2309"/>
    <w:rsid w:val="00534CC8"/>
    <w:rsid w:val="00732D8B"/>
    <w:rsid w:val="00937D5F"/>
    <w:rsid w:val="00AF0F6C"/>
    <w:rsid w:val="00B60AC6"/>
    <w:rsid w:val="00C16A43"/>
    <w:rsid w:val="00C9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60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60AC6"/>
    <w:pPr>
      <w:ind w:left="720"/>
      <w:contextualSpacing/>
    </w:pPr>
  </w:style>
  <w:style w:type="paragraph" w:styleId="PrformatHTML">
    <w:name w:val="HTML Preformatted"/>
    <w:basedOn w:val="Normal"/>
    <w:link w:val="PrformatHTMLCar"/>
    <w:uiPriority w:val="99"/>
    <w:semiHidden/>
    <w:unhideWhenUsed/>
    <w:rsid w:val="003F2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3F2309"/>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60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60AC6"/>
    <w:pPr>
      <w:ind w:left="720"/>
      <w:contextualSpacing/>
    </w:pPr>
  </w:style>
  <w:style w:type="paragraph" w:styleId="PrformatHTML">
    <w:name w:val="HTML Preformatted"/>
    <w:basedOn w:val="Normal"/>
    <w:link w:val="PrformatHTMLCar"/>
    <w:uiPriority w:val="99"/>
    <w:semiHidden/>
    <w:unhideWhenUsed/>
    <w:rsid w:val="003F2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3F2309"/>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4263</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Utilisateur Windows</cp:lastModifiedBy>
  <cp:revision>2</cp:revision>
  <dcterms:created xsi:type="dcterms:W3CDTF">2018-07-23T08:18:00Z</dcterms:created>
  <dcterms:modified xsi:type="dcterms:W3CDTF">2018-07-23T08:18:00Z</dcterms:modified>
</cp:coreProperties>
</file>