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768DC" w14:textId="2409F498" w:rsidR="00937D5F" w:rsidRPr="00214075" w:rsidRDefault="00214075" w:rsidP="00937D5F">
      <w:pPr>
        <w:rPr>
          <w:lang w:val="el-GR"/>
        </w:rPr>
      </w:pPr>
      <w:r>
        <w:rPr>
          <w:lang w:val="el-GR"/>
        </w:rPr>
        <w:t>ΣΥΝΤΟΜΑ</w:t>
      </w:r>
      <w:r w:rsidRPr="00214075">
        <w:rPr>
          <w:lang w:val="el-GR"/>
        </w:rPr>
        <w:t xml:space="preserve"> </w:t>
      </w:r>
      <w:r>
        <w:rPr>
          <w:lang w:val="el-GR"/>
        </w:rPr>
        <w:t>ΚΕΙΜΕΝΑ</w:t>
      </w:r>
      <w:r w:rsidRPr="00214075">
        <w:rPr>
          <w:lang w:val="el-GR"/>
        </w:rPr>
        <w:t xml:space="preserve"> </w:t>
      </w:r>
      <w:r>
        <w:rPr>
          <w:lang w:val="el-GR"/>
        </w:rPr>
        <w:t>ΓΙΑ</w:t>
      </w:r>
      <w:r w:rsidRPr="00214075">
        <w:rPr>
          <w:lang w:val="el-GR"/>
        </w:rPr>
        <w:t xml:space="preserve">  </w:t>
      </w:r>
      <w:r>
        <w:rPr>
          <w:lang w:val="el-GR"/>
        </w:rPr>
        <w:t>ΕΠΑΝΑΓΡΑΦΗ</w:t>
      </w:r>
      <w:r w:rsidRPr="00214075">
        <w:rPr>
          <w:lang w:val="el-GR"/>
        </w:rPr>
        <w:t>,</w:t>
      </w:r>
      <w:r>
        <w:rPr>
          <w:lang w:val="el-GR"/>
        </w:rPr>
        <w:t xml:space="preserve"> ΑΠΟ ΤΟ</w:t>
      </w:r>
      <w:r w:rsidRPr="00214075">
        <w:rPr>
          <w:lang w:val="el-GR"/>
        </w:rPr>
        <w:t>:</w:t>
      </w:r>
    </w:p>
    <w:p w14:paraId="1C2EC094" w14:textId="17E1024C" w:rsidR="00937D5F" w:rsidRPr="00707F71" w:rsidRDefault="00937D5F" w:rsidP="00937D5F">
      <w:pPr>
        <w:spacing w:line="276" w:lineRule="auto"/>
      </w:pPr>
      <w:r w:rsidRPr="00937D5F">
        <w:rPr>
          <w:i/>
        </w:rPr>
        <w:t>The Learning Process Model for Intercultural Partnerships</w:t>
      </w:r>
      <w:r>
        <w:rPr>
          <w:i/>
        </w:rPr>
        <w:t xml:space="preserve"> </w:t>
      </w:r>
      <w:r>
        <w:t xml:space="preserve">by </w:t>
      </w:r>
      <w:r w:rsidRPr="00707F71">
        <w:t>Stuart Reid</w:t>
      </w:r>
      <w:r>
        <w:t xml:space="preserve">, </w:t>
      </w:r>
      <w:r w:rsidR="00214075">
        <w:rPr>
          <w:lang w:val="el-GR"/>
        </w:rPr>
        <w:t>Πανεπιστήμιο</w:t>
      </w:r>
      <w:r w:rsidR="00214075" w:rsidRPr="00214075">
        <w:rPr>
          <w:lang w:val="en-US"/>
        </w:rPr>
        <w:t xml:space="preserve"> </w:t>
      </w:r>
      <w:r w:rsidRPr="00707F71">
        <w:t>Warwick</w:t>
      </w:r>
      <w:r>
        <w:t xml:space="preserve"> (2009)</w:t>
      </w:r>
    </w:p>
    <w:p w14:paraId="489E9C85" w14:textId="77777777" w:rsidR="00937D5F" w:rsidRDefault="00937D5F"/>
    <w:tbl>
      <w:tblPr>
        <w:tblStyle w:val="TableGrid"/>
        <w:tblW w:w="0" w:type="auto"/>
        <w:tblLook w:val="04A0" w:firstRow="1" w:lastRow="0" w:firstColumn="1" w:lastColumn="0" w:noHBand="0" w:noVBand="1"/>
      </w:tblPr>
      <w:tblGrid>
        <w:gridCol w:w="846"/>
        <w:gridCol w:w="8170"/>
      </w:tblGrid>
      <w:tr w:rsidR="009A0672" w:rsidRPr="00AD4C3C" w14:paraId="31E0E412" w14:textId="77777777" w:rsidTr="00B60AC6">
        <w:tc>
          <w:tcPr>
            <w:tcW w:w="846" w:type="dxa"/>
          </w:tcPr>
          <w:p w14:paraId="07E78159" w14:textId="77777777" w:rsidR="009A0672" w:rsidRDefault="009A0672" w:rsidP="00B60AC6">
            <w:pPr>
              <w:pStyle w:val="ListParagraph"/>
              <w:numPr>
                <w:ilvl w:val="0"/>
                <w:numId w:val="1"/>
              </w:numPr>
              <w:ind w:left="447"/>
            </w:pPr>
          </w:p>
        </w:tc>
        <w:tc>
          <w:tcPr>
            <w:tcW w:w="8170" w:type="dxa"/>
          </w:tcPr>
          <w:p w14:paraId="2D91150A" w14:textId="1C773E81" w:rsidR="009A0672" w:rsidRPr="00214075" w:rsidRDefault="00AD4C3C" w:rsidP="009A0672">
            <w:r w:rsidRPr="00214075">
              <w:t>Ο πολιτισμός δεν είναι, τότε , σταθερός ή επιβαλλόμενος, αλλά δημιουργείται  συνεχώς και επανακατασκευάζεται κατά την αλληλεπίδραση</w:t>
            </w:r>
            <w:r w:rsidR="009A0672" w:rsidRPr="00214075">
              <w:br/>
            </w:r>
            <w:r w:rsidR="009A0672" w:rsidRPr="00214075">
              <w:br/>
            </w:r>
          </w:p>
        </w:tc>
      </w:tr>
      <w:tr w:rsidR="009A0672" w:rsidRPr="00AD4C3C" w14:paraId="038BEF28" w14:textId="77777777" w:rsidTr="00B60AC6">
        <w:tc>
          <w:tcPr>
            <w:tcW w:w="846" w:type="dxa"/>
          </w:tcPr>
          <w:p w14:paraId="1B9A4C4D" w14:textId="77777777" w:rsidR="009A0672" w:rsidRPr="009A0672" w:rsidRDefault="009A0672" w:rsidP="00B60AC6">
            <w:pPr>
              <w:pStyle w:val="ListParagraph"/>
              <w:numPr>
                <w:ilvl w:val="0"/>
                <w:numId w:val="1"/>
              </w:numPr>
              <w:ind w:left="447"/>
              <w:rPr>
                <w:lang w:val="el-GR"/>
              </w:rPr>
            </w:pPr>
          </w:p>
        </w:tc>
        <w:tc>
          <w:tcPr>
            <w:tcW w:w="8170" w:type="dxa"/>
          </w:tcPr>
          <w:p w14:paraId="56D9FB56" w14:textId="032BFE37" w:rsidR="009A0672" w:rsidRPr="00214075" w:rsidRDefault="00AD4C3C" w:rsidP="009A0672">
            <w:pPr>
              <w:rPr>
                <w:lang w:val="el-GR"/>
              </w:rPr>
            </w:pPr>
            <w:r w:rsidRPr="00214075">
              <w:rPr>
                <w:lang w:val="el-GR"/>
              </w:rPr>
              <w:t xml:space="preserve">Οι συμμετέχοντες στη διαπολιτισμική συνεργασία μπορούν να λειτουργούν με στερεότυπα μιας άλλης κουλτούρας που θα προκαθορίσει τη δική τους συμπεριφορά και μπορεί να εμποδίσει την ικανότητά τους να μάθουν από τη συνάντηση με ανοιχτό και ανταποκρινόμενο τρόπο. </w:t>
            </w:r>
            <w:r w:rsidRPr="00214075">
              <w:t>Πράγματι, η έρευνα του Francis (1991) δείχνει ότι συγκεκριμένη  συμπεριφορά μοντελοποίησης βασισμένη σε πολιτισμικά στερεότυπα μπορεί να είναι αντιπαραγωγική στη διαπολιτισμική αλληλεπίδραση.</w:t>
            </w:r>
            <w:r w:rsidR="00214075">
              <w:br/>
            </w:r>
          </w:p>
        </w:tc>
      </w:tr>
      <w:tr w:rsidR="009A0672" w:rsidRPr="00AD4C3C" w14:paraId="666EFCF8" w14:textId="77777777" w:rsidTr="00B60AC6">
        <w:tc>
          <w:tcPr>
            <w:tcW w:w="846" w:type="dxa"/>
          </w:tcPr>
          <w:p w14:paraId="2A628E00" w14:textId="77777777" w:rsidR="009A0672" w:rsidRPr="009A0672" w:rsidRDefault="009A0672" w:rsidP="00B60AC6">
            <w:pPr>
              <w:pStyle w:val="ListParagraph"/>
              <w:numPr>
                <w:ilvl w:val="0"/>
                <w:numId w:val="1"/>
              </w:numPr>
              <w:ind w:left="447"/>
              <w:rPr>
                <w:lang w:val="el-GR"/>
              </w:rPr>
            </w:pPr>
          </w:p>
        </w:tc>
        <w:tc>
          <w:tcPr>
            <w:tcW w:w="8170" w:type="dxa"/>
          </w:tcPr>
          <w:p w14:paraId="50E11853" w14:textId="69E04F6F" w:rsidR="009A0672" w:rsidRPr="00214075" w:rsidRDefault="009A0672" w:rsidP="009A0672">
            <w:pPr>
              <w:rPr>
                <w:lang w:val="el-GR"/>
              </w:rPr>
            </w:pPr>
            <w:r w:rsidRPr="00214075">
              <w:br/>
            </w:r>
            <w:r w:rsidR="00AD4C3C" w:rsidRPr="00214075">
              <w:t>Σε μια μελέτη της εταιρικής σχέσης μεταξύ μιας ιδιωτικής εταιρείας και ενός μη κερδοσκοπικού οργανισμού (Laufer Green Isaac 2004) οι συγγραφείς διαπίστωσαν ότι κάθε πλευρά λειτουργούσε με ένα στερεότυπο του άλλου που δεν ήταν απλώς ανεφάρμοστο στη συνεργασία αλλά μπορούσε να επηρεάσει αρνητικά την  συμπεριφορά προς τον εταίρο.</w:t>
            </w:r>
            <w:r w:rsidR="00214075">
              <w:br/>
            </w:r>
          </w:p>
        </w:tc>
      </w:tr>
      <w:tr w:rsidR="009A0672" w:rsidRPr="00AD4C3C" w14:paraId="3D69C358" w14:textId="77777777" w:rsidTr="00B60AC6">
        <w:tc>
          <w:tcPr>
            <w:tcW w:w="846" w:type="dxa"/>
          </w:tcPr>
          <w:p w14:paraId="4AEBA79C" w14:textId="77777777" w:rsidR="009A0672" w:rsidRPr="009A0672" w:rsidRDefault="009A0672" w:rsidP="00B60AC6">
            <w:pPr>
              <w:pStyle w:val="ListParagraph"/>
              <w:numPr>
                <w:ilvl w:val="0"/>
                <w:numId w:val="1"/>
              </w:numPr>
              <w:ind w:left="447"/>
              <w:rPr>
                <w:lang w:val="el-GR"/>
              </w:rPr>
            </w:pPr>
          </w:p>
        </w:tc>
        <w:tc>
          <w:tcPr>
            <w:tcW w:w="8170" w:type="dxa"/>
          </w:tcPr>
          <w:p w14:paraId="3F47B7FA" w14:textId="091FE335" w:rsidR="009A0672" w:rsidRPr="00214075" w:rsidRDefault="009A0672" w:rsidP="009A0672">
            <w:pPr>
              <w:rPr>
                <w:lang w:val="el-GR"/>
              </w:rPr>
            </w:pPr>
            <w:r w:rsidRPr="00214075">
              <w:br/>
            </w:r>
            <w:r w:rsidR="00AD4C3C" w:rsidRPr="00214075">
              <w:t>Η μελέτη του Stott σχετικά με μια ανεπιτυχή διεθνή σύμπραξη κατέληξε στο συμπέρασμα ότι η αποτυχία αντιμετώπισης αυτής της ποικιλομορφίας και τα στερεότυπα που κάθε μέρος είχε για το άλλο συνέβαλαν στην αποτυχία του έργου (Stott 2007).</w:t>
            </w:r>
            <w:r w:rsidR="00214075">
              <w:br/>
            </w:r>
          </w:p>
        </w:tc>
      </w:tr>
      <w:tr w:rsidR="009A0672" w:rsidRPr="00AD4C3C" w14:paraId="168730B7" w14:textId="77777777" w:rsidTr="00B60AC6">
        <w:tc>
          <w:tcPr>
            <w:tcW w:w="846" w:type="dxa"/>
          </w:tcPr>
          <w:p w14:paraId="1D77D26D" w14:textId="77777777" w:rsidR="009A0672" w:rsidRPr="009A0672" w:rsidRDefault="009A0672" w:rsidP="00B60AC6">
            <w:pPr>
              <w:pStyle w:val="ListParagraph"/>
              <w:numPr>
                <w:ilvl w:val="0"/>
                <w:numId w:val="1"/>
              </w:numPr>
              <w:ind w:left="447"/>
              <w:rPr>
                <w:lang w:val="el-GR"/>
              </w:rPr>
            </w:pPr>
          </w:p>
        </w:tc>
        <w:tc>
          <w:tcPr>
            <w:tcW w:w="8170" w:type="dxa"/>
          </w:tcPr>
          <w:p w14:paraId="0A8E7766" w14:textId="32233E14" w:rsidR="009A0672" w:rsidRPr="00214075" w:rsidRDefault="00AD4C3C" w:rsidP="009A0672">
            <w:pPr>
              <w:rPr>
                <w:lang w:val="el-GR"/>
              </w:rPr>
            </w:pPr>
            <w:r w:rsidRPr="00214075">
              <w:rPr>
                <w:lang w:val="el-GR"/>
              </w:rPr>
              <w:t xml:space="preserve">Σε μια ανασκόπηση των θετικών στρατηγικών για την επιτυχία σε πολυεθνικές ομάδες, οι </w:t>
            </w:r>
            <w:r w:rsidRPr="00214075">
              <w:t>Gibson</w:t>
            </w:r>
            <w:r w:rsidRPr="00214075">
              <w:rPr>
                <w:lang w:val="el-GR"/>
              </w:rPr>
              <w:t xml:space="preserve"> και </w:t>
            </w:r>
            <w:r w:rsidRPr="00214075">
              <w:t>Grubb</w:t>
            </w:r>
            <w:r w:rsidRPr="00214075">
              <w:rPr>
                <w:lang w:val="el-GR"/>
              </w:rPr>
              <w:t xml:space="preserve"> (2005) προτείνουν ότι "Η αναστολή των εθνικών στερεοτυπικών στοιχείων  προωθεί το αγκάλιασμα των διακρατικών διαφορετικών  ιδεών ..."</w:t>
            </w:r>
            <w:r w:rsidR="00214075" w:rsidRPr="00214075">
              <w:rPr>
                <w:lang w:val="el-GR"/>
              </w:rPr>
              <w:br/>
            </w:r>
          </w:p>
        </w:tc>
      </w:tr>
      <w:tr w:rsidR="009A0672" w:rsidRPr="00AD4C3C" w14:paraId="05E3CE28" w14:textId="77777777" w:rsidTr="00B60AC6">
        <w:tc>
          <w:tcPr>
            <w:tcW w:w="846" w:type="dxa"/>
          </w:tcPr>
          <w:p w14:paraId="5B6499D8" w14:textId="77777777" w:rsidR="009A0672" w:rsidRPr="009A0672" w:rsidRDefault="009A0672" w:rsidP="00B60AC6">
            <w:pPr>
              <w:pStyle w:val="ListParagraph"/>
              <w:numPr>
                <w:ilvl w:val="0"/>
                <w:numId w:val="1"/>
              </w:numPr>
              <w:ind w:left="447"/>
              <w:rPr>
                <w:lang w:val="el-GR"/>
              </w:rPr>
            </w:pPr>
          </w:p>
        </w:tc>
        <w:tc>
          <w:tcPr>
            <w:tcW w:w="8170" w:type="dxa"/>
          </w:tcPr>
          <w:p w14:paraId="632B0ECE" w14:textId="250CB02C" w:rsidR="009A0672" w:rsidRPr="00214075" w:rsidRDefault="009A0672" w:rsidP="00AD4C3C">
            <w:pPr>
              <w:rPr>
                <w:lang w:val="el-GR"/>
              </w:rPr>
            </w:pPr>
            <w:r w:rsidRPr="00214075">
              <w:rPr>
                <w:lang w:val="el-GR"/>
              </w:rPr>
              <w:br/>
            </w:r>
            <w:r w:rsidR="00AD4C3C" w:rsidRPr="00214075">
              <w:t>Η μείωση της εμπιστοσύνης στα πολιτιστικά «χαρακτηριστικά» ως οδηγός για τη διαπολιτισμική συμπεριφορά πρέπει να αντισταθμιστεί από την αυξημένη προσοχή στη διαδικασία αλληλεπίδρασης και την προθυμία να σχηματιστούν εντυπώσεις συνεργατών με βάση την ατομική συμπεριφορά και όχι γενικεύσεις</w:t>
            </w:r>
            <w:r w:rsidR="00214075">
              <w:br/>
            </w:r>
          </w:p>
        </w:tc>
      </w:tr>
      <w:tr w:rsidR="009A0672" w:rsidRPr="00AD4C3C" w14:paraId="4D31C15A" w14:textId="77777777" w:rsidTr="00B60AC6">
        <w:tc>
          <w:tcPr>
            <w:tcW w:w="846" w:type="dxa"/>
          </w:tcPr>
          <w:p w14:paraId="0F68756E" w14:textId="77777777" w:rsidR="009A0672" w:rsidRPr="009A0672" w:rsidRDefault="009A0672" w:rsidP="00B60AC6">
            <w:pPr>
              <w:pStyle w:val="ListParagraph"/>
              <w:numPr>
                <w:ilvl w:val="0"/>
                <w:numId w:val="1"/>
              </w:numPr>
              <w:ind w:left="447"/>
              <w:rPr>
                <w:lang w:val="el-GR"/>
              </w:rPr>
            </w:pPr>
          </w:p>
        </w:tc>
        <w:tc>
          <w:tcPr>
            <w:tcW w:w="8170" w:type="dxa"/>
          </w:tcPr>
          <w:p w14:paraId="4A983B8F" w14:textId="66A15EBE" w:rsidR="009A0672" w:rsidRPr="00214075" w:rsidRDefault="009A0672" w:rsidP="00214075">
            <w:r w:rsidRPr="00214075">
              <w:br/>
              <w:t>έμφαση [...]</w:t>
            </w:r>
            <w:r w:rsidR="00AD4C3C" w:rsidRPr="00214075">
              <w:t xml:space="preserve">, στην ανάπτυξη της αυτογνωσίας, στη ευελιξίας και μια ανοικτή και ευαίσθητης στάσης στην αλληλεπίδραση </w:t>
            </w:r>
            <w:r w:rsidR="00214075" w:rsidRPr="00214075">
              <w:t>[υποστηρίζεται]</w:t>
            </w:r>
            <w:r w:rsidR="00214075" w:rsidRPr="00214075">
              <w:br/>
            </w:r>
          </w:p>
        </w:tc>
      </w:tr>
      <w:tr w:rsidR="009A0672" w:rsidRPr="00214075" w14:paraId="7B4C6EA3" w14:textId="77777777" w:rsidTr="00B60AC6">
        <w:tc>
          <w:tcPr>
            <w:tcW w:w="846" w:type="dxa"/>
          </w:tcPr>
          <w:p w14:paraId="08D382D3" w14:textId="77777777" w:rsidR="009A0672" w:rsidRPr="00214075" w:rsidRDefault="009A0672" w:rsidP="00B60AC6">
            <w:pPr>
              <w:pStyle w:val="ListParagraph"/>
              <w:numPr>
                <w:ilvl w:val="0"/>
                <w:numId w:val="1"/>
              </w:numPr>
              <w:ind w:left="447"/>
            </w:pPr>
          </w:p>
        </w:tc>
        <w:tc>
          <w:tcPr>
            <w:tcW w:w="8170" w:type="dxa"/>
          </w:tcPr>
          <w:p w14:paraId="543975C9" w14:textId="77777777" w:rsidR="009A0672" w:rsidRDefault="00AD4C3C">
            <w:pPr>
              <w:rPr>
                <w:lang w:val="el-GR"/>
              </w:rPr>
            </w:pPr>
            <w:r w:rsidRPr="00214075">
              <w:t>Η γνώση είναι σημαντική για να αντισταθούμε στην αναπόφευκτη τάση να βλέπουμε τον κόσμο μέσα από ένα φακό που χρωματίζεται από την υπόθεση ότι η δική μας κουλτούρα έχει «είναι ορθή » και ότι οι κανόνες, οι συμπεριφορές και οι αξίες της ισχύουν παγκοσμίως</w:t>
            </w:r>
          </w:p>
          <w:p w14:paraId="2079CA23" w14:textId="36BE5042" w:rsidR="00214075" w:rsidRPr="00214075" w:rsidRDefault="00214075">
            <w:pPr>
              <w:rPr>
                <w:lang w:val="el-GR"/>
              </w:rPr>
            </w:pPr>
          </w:p>
        </w:tc>
      </w:tr>
      <w:tr w:rsidR="009A0672" w:rsidRPr="00214075" w14:paraId="483424D9" w14:textId="77777777" w:rsidTr="00B60AC6">
        <w:tc>
          <w:tcPr>
            <w:tcW w:w="846" w:type="dxa"/>
          </w:tcPr>
          <w:p w14:paraId="3E3D5FD2" w14:textId="77777777" w:rsidR="009A0672" w:rsidRPr="00214075" w:rsidRDefault="009A0672" w:rsidP="00B60AC6">
            <w:pPr>
              <w:pStyle w:val="ListParagraph"/>
              <w:numPr>
                <w:ilvl w:val="0"/>
                <w:numId w:val="1"/>
              </w:numPr>
              <w:ind w:left="447"/>
            </w:pPr>
          </w:p>
        </w:tc>
        <w:tc>
          <w:tcPr>
            <w:tcW w:w="8170" w:type="dxa"/>
          </w:tcPr>
          <w:p w14:paraId="3B687A29" w14:textId="77777777" w:rsidR="009A0672" w:rsidRDefault="00AD4C3C">
            <w:pPr>
              <w:rPr>
                <w:lang w:val="el-GR"/>
              </w:rPr>
            </w:pPr>
            <w:r w:rsidRPr="00214075">
              <w:t>ένας καλός βαθμός γνώσης  των πολιτισμικών επιρροών του ατόμου καθώς και των ιδιοσυγκρασιακών τάσεων του ατόμου είναι απαραίτητη  για την α</w:t>
            </w:r>
            <w:proofErr w:type="spellStart"/>
            <w:r w:rsidRPr="00214075">
              <w:t>ντικειμενική</w:t>
            </w:r>
            <w:bookmarkStart w:id="0" w:name="_GoBack"/>
            <w:bookmarkEnd w:id="0"/>
            <w:proofErr w:type="spellEnd"/>
            <w:r w:rsidRPr="00214075">
              <w:t xml:space="preserve"> α</w:t>
            </w:r>
            <w:proofErr w:type="spellStart"/>
            <w:r w:rsidRPr="00214075">
              <w:t>υτο</w:t>
            </w:r>
            <w:proofErr w:type="spellEnd"/>
            <w:r w:rsidRPr="00214075">
              <w:t>αξιολόγηση</w:t>
            </w:r>
          </w:p>
          <w:p w14:paraId="1D11A002" w14:textId="225A58F7" w:rsidR="00214075" w:rsidRPr="00214075" w:rsidRDefault="00214075">
            <w:pPr>
              <w:rPr>
                <w:lang w:val="el-GR"/>
              </w:rPr>
            </w:pPr>
          </w:p>
        </w:tc>
      </w:tr>
      <w:tr w:rsidR="009A0672" w:rsidRPr="00214075" w14:paraId="274BAE08" w14:textId="77777777" w:rsidTr="00B60AC6">
        <w:tc>
          <w:tcPr>
            <w:tcW w:w="846" w:type="dxa"/>
          </w:tcPr>
          <w:p w14:paraId="1376748C" w14:textId="77777777" w:rsidR="009A0672" w:rsidRPr="00214075" w:rsidRDefault="009A0672" w:rsidP="00B60AC6">
            <w:pPr>
              <w:pStyle w:val="ListParagraph"/>
              <w:numPr>
                <w:ilvl w:val="0"/>
                <w:numId w:val="1"/>
              </w:numPr>
              <w:ind w:left="447"/>
            </w:pPr>
          </w:p>
        </w:tc>
        <w:tc>
          <w:tcPr>
            <w:tcW w:w="8170" w:type="dxa"/>
          </w:tcPr>
          <w:p w14:paraId="3FB1E930" w14:textId="31FA7060" w:rsidR="009A0672" w:rsidRPr="00214075" w:rsidRDefault="00AD4C3C">
            <w:r w:rsidRPr="00214075">
              <w:t>Ο υψηλός βαθμός γνώσης  των πολιτισμικών διαφορών και της παγκόσμιας ποικιλομορφίας των κανόνων και των αξιών είναι εξίσου σημαντικός για τη δημιουργία μιας καλή δημιουργημένης  βάση για την αποτελεσματικότητα της διαπολιτισμικής αλληλεπίδρασης</w:t>
            </w:r>
          </w:p>
        </w:tc>
      </w:tr>
      <w:tr w:rsidR="00B60AC6" w:rsidRPr="00214075" w14:paraId="2F28739E" w14:textId="77777777" w:rsidTr="00B60AC6">
        <w:tc>
          <w:tcPr>
            <w:tcW w:w="846" w:type="dxa"/>
          </w:tcPr>
          <w:p w14:paraId="0D1EF6E7" w14:textId="77777777" w:rsidR="00B60AC6" w:rsidRPr="00214075" w:rsidRDefault="00B60AC6" w:rsidP="00B60AC6">
            <w:pPr>
              <w:pStyle w:val="ListParagraph"/>
              <w:numPr>
                <w:ilvl w:val="0"/>
                <w:numId w:val="1"/>
              </w:numPr>
              <w:ind w:left="447"/>
            </w:pPr>
          </w:p>
        </w:tc>
        <w:tc>
          <w:tcPr>
            <w:tcW w:w="8170" w:type="dxa"/>
          </w:tcPr>
          <w:p w14:paraId="36928C98" w14:textId="6346F520" w:rsidR="00B60AC6" w:rsidRPr="00214075" w:rsidRDefault="00AD4C3C">
            <w:pPr>
              <w:rPr>
                <w:lang w:val="el-GR"/>
              </w:rPr>
            </w:pPr>
            <w:r w:rsidRPr="00214075">
              <w:rPr>
                <w:lang w:val="el-GR"/>
              </w:rPr>
              <w:t>Η έννοια του προβληματισμού βρίσκεται στο επίκεντρο των σύγχρονων θεωριών μάθησης</w:t>
            </w:r>
            <w:r w:rsidRPr="00214075">
              <w:rPr>
                <w:lang w:val="el-GR"/>
              </w:rPr>
              <w:t xml:space="preserve"> </w:t>
            </w:r>
          </w:p>
        </w:tc>
      </w:tr>
      <w:tr w:rsidR="00B60AC6" w:rsidRPr="00214075" w14:paraId="38E97074" w14:textId="77777777" w:rsidTr="00B60AC6">
        <w:tc>
          <w:tcPr>
            <w:tcW w:w="846" w:type="dxa"/>
          </w:tcPr>
          <w:p w14:paraId="3DE84A6B" w14:textId="77777777" w:rsidR="00B60AC6" w:rsidRPr="00214075" w:rsidRDefault="00B60AC6" w:rsidP="00B60AC6">
            <w:pPr>
              <w:pStyle w:val="ListParagraph"/>
              <w:numPr>
                <w:ilvl w:val="0"/>
                <w:numId w:val="1"/>
              </w:numPr>
              <w:ind w:left="447"/>
              <w:rPr>
                <w:lang w:val="el-GR"/>
              </w:rPr>
            </w:pPr>
          </w:p>
        </w:tc>
        <w:tc>
          <w:tcPr>
            <w:tcW w:w="8170" w:type="dxa"/>
          </w:tcPr>
          <w:p w14:paraId="0B78EB59" w14:textId="153126DB" w:rsidR="00B60AC6" w:rsidRPr="00214075" w:rsidRDefault="00AD4C3C">
            <w:proofErr w:type="spellStart"/>
            <w:proofErr w:type="gramStart"/>
            <w:r w:rsidRPr="00214075">
              <w:t>οι</w:t>
            </w:r>
            <w:proofErr w:type="spellEnd"/>
            <w:proofErr w:type="gramEnd"/>
            <w:r w:rsidRPr="00214075">
              <w:t xml:space="preserve"> </w:t>
            </w:r>
            <w:proofErr w:type="spellStart"/>
            <w:r w:rsidRPr="00214075">
              <w:t>διευθυντές</w:t>
            </w:r>
            <w:proofErr w:type="spellEnd"/>
            <w:r w:rsidRPr="00214075">
              <w:t xml:space="preserve"> π</w:t>
            </w:r>
            <w:proofErr w:type="spellStart"/>
            <w:r w:rsidRPr="00214075">
              <w:t>ου</w:t>
            </w:r>
            <w:proofErr w:type="spellEnd"/>
            <w:r w:rsidRPr="00214075">
              <w:t xml:space="preserve"> επ</w:t>
            </w:r>
            <w:proofErr w:type="spellStart"/>
            <w:r w:rsidRPr="00214075">
              <w:t>έδειξ</w:t>
            </w:r>
            <w:proofErr w:type="spellEnd"/>
            <w:r w:rsidRPr="00214075">
              <w:t>αν ένα πιο ευέλικτο στυλ μάθησης θα μπορούσαν περισσότερο να τροποποιήσουν τα πολιτιστικά τους στερεότυπα υπό το πρίσμα της εμπειρίας και έτσι πιθανόν  να είναι  περισσότερο διαπολιτισμικά αποτελεσματικοί .</w:t>
            </w:r>
            <w:r w:rsidRPr="00214075">
              <w:br/>
            </w:r>
          </w:p>
        </w:tc>
      </w:tr>
      <w:tr w:rsidR="00B60AC6" w:rsidRPr="00214075" w14:paraId="0D86D835" w14:textId="77777777" w:rsidTr="00B60AC6">
        <w:tc>
          <w:tcPr>
            <w:tcW w:w="846" w:type="dxa"/>
          </w:tcPr>
          <w:p w14:paraId="6E8BD1AD" w14:textId="77777777" w:rsidR="00B60AC6" w:rsidRPr="00214075" w:rsidRDefault="00B60AC6" w:rsidP="00B60AC6">
            <w:pPr>
              <w:pStyle w:val="ListParagraph"/>
              <w:numPr>
                <w:ilvl w:val="0"/>
                <w:numId w:val="1"/>
              </w:numPr>
              <w:ind w:left="447"/>
            </w:pPr>
          </w:p>
        </w:tc>
        <w:tc>
          <w:tcPr>
            <w:tcW w:w="8170" w:type="dxa"/>
          </w:tcPr>
          <w:p w14:paraId="30E7BE91" w14:textId="77777777" w:rsidR="00214075" w:rsidRDefault="00AD4C3C">
            <w:pPr>
              <w:rPr>
                <w:lang w:val="el-GR"/>
              </w:rPr>
            </w:pPr>
            <w:r w:rsidRPr="00214075">
              <w:t>πολύτιμη μάθηση μπορεί να παραχθεί από την εξέταση «αποτυχιών» ή λάθη που είναι  τόσο χρήσιμη όσο και από π</w:t>
            </w:r>
            <w:proofErr w:type="spellStart"/>
            <w:r w:rsidRPr="00214075">
              <w:t>ροφ</w:t>
            </w:r>
            <w:proofErr w:type="spellEnd"/>
            <w:r w:rsidRPr="00214075">
              <w:t>ανείς επ</w:t>
            </w:r>
            <w:proofErr w:type="spellStart"/>
            <w:r w:rsidRPr="00214075">
              <w:t>ιτυχίες</w:t>
            </w:r>
            <w:proofErr w:type="spellEnd"/>
          </w:p>
          <w:p w14:paraId="33A2F467" w14:textId="45868217" w:rsidR="00B60AC6" w:rsidRPr="00214075" w:rsidRDefault="00AD4C3C">
            <w:r w:rsidRPr="00214075">
              <w:t xml:space="preserve"> </w:t>
            </w:r>
          </w:p>
        </w:tc>
      </w:tr>
      <w:tr w:rsidR="00B60AC6" w:rsidRPr="00214075" w14:paraId="27A528E5" w14:textId="77777777" w:rsidTr="00B60AC6">
        <w:tc>
          <w:tcPr>
            <w:tcW w:w="846" w:type="dxa"/>
          </w:tcPr>
          <w:p w14:paraId="092112FE" w14:textId="77777777" w:rsidR="00B60AC6" w:rsidRPr="00214075" w:rsidRDefault="00B60AC6" w:rsidP="00B60AC6">
            <w:pPr>
              <w:pStyle w:val="ListParagraph"/>
              <w:numPr>
                <w:ilvl w:val="0"/>
                <w:numId w:val="1"/>
              </w:numPr>
              <w:ind w:left="447"/>
            </w:pPr>
          </w:p>
        </w:tc>
        <w:tc>
          <w:tcPr>
            <w:tcW w:w="8170" w:type="dxa"/>
          </w:tcPr>
          <w:p w14:paraId="68DE3D6F" w14:textId="77777777" w:rsidR="00B60AC6" w:rsidRDefault="00AD4C3C">
            <w:pPr>
              <w:rPr>
                <w:lang w:val="el-GR"/>
              </w:rPr>
            </w:pPr>
            <w:r w:rsidRPr="00214075">
              <w:t xml:space="preserve">αξία της μάθησης από την εμπειρία, σε αντίθεση με την αξιοποίηση της καθιερωμένης, προφανώς «πραγματικής» γνώσης που αποκτήθηκε πριν από τη συνεργασία </w:t>
            </w:r>
          </w:p>
          <w:p w14:paraId="09CD64EA" w14:textId="5F80FE76" w:rsidR="00214075" w:rsidRPr="00214075" w:rsidRDefault="00214075">
            <w:pPr>
              <w:rPr>
                <w:lang w:val="el-GR"/>
              </w:rPr>
            </w:pPr>
          </w:p>
        </w:tc>
      </w:tr>
      <w:tr w:rsidR="00B60AC6" w:rsidRPr="00214075" w14:paraId="040F6DBF" w14:textId="77777777" w:rsidTr="00B60AC6">
        <w:tc>
          <w:tcPr>
            <w:tcW w:w="846" w:type="dxa"/>
          </w:tcPr>
          <w:p w14:paraId="061EA266" w14:textId="77777777" w:rsidR="00B60AC6" w:rsidRPr="00214075" w:rsidRDefault="00B60AC6" w:rsidP="00B60AC6">
            <w:pPr>
              <w:pStyle w:val="ListParagraph"/>
              <w:numPr>
                <w:ilvl w:val="0"/>
                <w:numId w:val="1"/>
              </w:numPr>
              <w:ind w:left="447"/>
            </w:pPr>
          </w:p>
        </w:tc>
        <w:tc>
          <w:tcPr>
            <w:tcW w:w="8170" w:type="dxa"/>
          </w:tcPr>
          <w:p w14:paraId="165C2AAF" w14:textId="77777777" w:rsidR="00B60AC6" w:rsidRDefault="00AD4C3C">
            <w:pPr>
              <w:rPr>
                <w:lang w:val="el-GR"/>
              </w:rPr>
            </w:pPr>
            <w:r w:rsidRPr="00214075">
              <w:t>οι ομάδες εργαζομένων συνεργάζονται για να επικεντρωθούν σε ένα εργασιακό πρόβλημα προκειμένου να «αναπτύξουν τις ικανότητές τους και ταυτόχρονα να βελτιώσουν το έργο τους»</w:t>
            </w:r>
          </w:p>
          <w:p w14:paraId="6804326D" w14:textId="104E4F04" w:rsidR="00214075" w:rsidRPr="00214075" w:rsidRDefault="00214075">
            <w:pPr>
              <w:rPr>
                <w:lang w:val="el-GR"/>
              </w:rPr>
            </w:pPr>
          </w:p>
        </w:tc>
      </w:tr>
      <w:tr w:rsidR="00B60AC6" w:rsidRPr="00AD4C3C" w14:paraId="081C6024" w14:textId="77777777" w:rsidTr="00B60AC6">
        <w:tc>
          <w:tcPr>
            <w:tcW w:w="846" w:type="dxa"/>
          </w:tcPr>
          <w:p w14:paraId="5EF1EC4F" w14:textId="77777777" w:rsidR="00B60AC6" w:rsidRPr="00AD4C3C" w:rsidRDefault="00B60AC6" w:rsidP="00B60AC6">
            <w:pPr>
              <w:pStyle w:val="ListParagraph"/>
              <w:numPr>
                <w:ilvl w:val="0"/>
                <w:numId w:val="1"/>
              </w:numPr>
              <w:ind w:left="447"/>
              <w:rPr>
                <w:lang w:val="el-GR"/>
              </w:rPr>
            </w:pPr>
          </w:p>
        </w:tc>
        <w:tc>
          <w:tcPr>
            <w:tcW w:w="8170" w:type="dxa"/>
          </w:tcPr>
          <w:p w14:paraId="02038E2F" w14:textId="4BB3D670" w:rsidR="00B60AC6" w:rsidRPr="00AD4C3C" w:rsidRDefault="00B60AC6" w:rsidP="00B60AC6">
            <w:pPr>
              <w:rPr>
                <w:lang w:val="el-GR"/>
              </w:rPr>
            </w:pPr>
            <w:r w:rsidRPr="00AD4C3C">
              <w:rPr>
                <w:lang w:val="el-GR"/>
              </w:rPr>
              <w:t>[</w:t>
            </w:r>
            <w:r w:rsidR="00AD4C3C" w:rsidRPr="00AD4C3C">
              <w:t>υπάρχει</w:t>
            </w:r>
            <w:r w:rsidRPr="00AD4C3C">
              <w:t xml:space="preserve">] </w:t>
            </w:r>
            <w:r w:rsidR="00AD4C3C" w:rsidRPr="00AD4C3C">
              <w:t xml:space="preserve">η </w:t>
            </w:r>
            <w:r w:rsidR="00AD4C3C" w:rsidRPr="00AD4C3C">
              <w:t xml:space="preserve"> γνώση  σχετικά με τη διαδικασία μάθησης όσο και τη συνειδητή πρακτική του προβληματισμού, τόσο ατομικά όσο και, μέσω ανοικτής συζήτησης, μέσα στην επαγγελματική ομάδα. </w:t>
            </w:r>
            <w:proofErr w:type="gramStart"/>
            <w:r w:rsidR="00AD4C3C" w:rsidRPr="00AD4C3C">
              <w:t>την</w:t>
            </w:r>
            <w:proofErr w:type="gramEnd"/>
            <w:r w:rsidR="00AD4C3C" w:rsidRPr="00AD4C3C">
              <w:t xml:space="preserve"> γνώση  σχετικά με τη διαδικασία μάθησης όσο και τη συνειδητή πρακτική του προβληματισμού, τόσο ατομικά όσο και, μέσω ανοικτής συζήτησης, μέσα στην επαγγελματική ομάδα.</w:t>
            </w:r>
            <w:r w:rsidR="00AD4C3C" w:rsidRPr="00083E51">
              <w:rPr>
                <w:lang w:val="el-GR"/>
              </w:rPr>
              <w:t xml:space="preserve"> </w:t>
            </w:r>
          </w:p>
          <w:p w14:paraId="5D7261BC" w14:textId="77777777" w:rsidR="00B60AC6" w:rsidRPr="00AD4C3C" w:rsidRDefault="00B60AC6">
            <w:pPr>
              <w:rPr>
                <w:lang w:val="el-GR"/>
              </w:rPr>
            </w:pPr>
          </w:p>
        </w:tc>
      </w:tr>
      <w:tr w:rsidR="00B60AC6" w:rsidRPr="00214075" w14:paraId="55F3F552" w14:textId="77777777" w:rsidTr="00B60AC6">
        <w:tc>
          <w:tcPr>
            <w:tcW w:w="846" w:type="dxa"/>
          </w:tcPr>
          <w:p w14:paraId="43A0EC57" w14:textId="77777777" w:rsidR="00B60AC6" w:rsidRPr="00AD4C3C" w:rsidRDefault="00B60AC6" w:rsidP="00B60AC6">
            <w:pPr>
              <w:pStyle w:val="ListParagraph"/>
              <w:numPr>
                <w:ilvl w:val="0"/>
                <w:numId w:val="1"/>
              </w:numPr>
              <w:ind w:left="447"/>
              <w:rPr>
                <w:lang w:val="el-GR"/>
              </w:rPr>
            </w:pPr>
          </w:p>
        </w:tc>
        <w:tc>
          <w:tcPr>
            <w:tcW w:w="8170" w:type="dxa"/>
          </w:tcPr>
          <w:p w14:paraId="0F97A657" w14:textId="6535606C" w:rsidR="00B60AC6" w:rsidRPr="00214075" w:rsidRDefault="00214075" w:rsidP="00B60AC6">
            <w:pPr>
              <w:spacing w:line="276" w:lineRule="auto"/>
              <w:ind w:left="720"/>
              <w:rPr>
                <w:i/>
                <w:lang w:val="el-GR"/>
              </w:rPr>
            </w:pPr>
            <w:r w:rsidRPr="00214075">
              <w:rPr>
                <w:i/>
                <w:lang w:val="el-GR"/>
              </w:rPr>
              <w:t xml:space="preserve">Οι αντανακλαστικές πρακτικές που βοηθούν στην ανάπτυξη δεξιοτήτων μάθησης στα έργα περιλαμβάνουν τη χρήση διαφόρων οργανωτικών εργαλείων μάθησης ... </w:t>
            </w:r>
            <w:proofErr w:type="spellStart"/>
            <w:r w:rsidRPr="00214075">
              <w:rPr>
                <w:i/>
              </w:rPr>
              <w:t>Όλες</w:t>
            </w:r>
            <w:proofErr w:type="spellEnd"/>
            <w:r w:rsidRPr="00214075">
              <w:rPr>
                <w:i/>
              </w:rPr>
              <w:t xml:space="preserve"> α</w:t>
            </w:r>
            <w:proofErr w:type="spellStart"/>
            <w:r w:rsidRPr="00214075">
              <w:rPr>
                <w:i/>
              </w:rPr>
              <w:t>υτές</w:t>
            </w:r>
            <w:proofErr w:type="spellEnd"/>
            <w:r w:rsidRPr="00214075">
              <w:rPr>
                <w:i/>
              </w:rPr>
              <w:t xml:space="preserve"> </w:t>
            </w:r>
            <w:proofErr w:type="spellStart"/>
            <w:r w:rsidRPr="00214075">
              <w:rPr>
                <w:i/>
              </w:rPr>
              <w:t>οι</w:t>
            </w:r>
            <w:proofErr w:type="spellEnd"/>
            <w:r w:rsidRPr="00214075">
              <w:rPr>
                <w:i/>
              </w:rPr>
              <w:t xml:space="preserve"> πρα</w:t>
            </w:r>
            <w:proofErr w:type="spellStart"/>
            <w:r w:rsidRPr="00214075">
              <w:rPr>
                <w:i/>
              </w:rPr>
              <w:t>κτικές</w:t>
            </w:r>
            <w:proofErr w:type="spellEnd"/>
            <w:r w:rsidRPr="00214075">
              <w:rPr>
                <w:i/>
              </w:rPr>
              <w:t xml:space="preserve"> επιτρέπουν στα μέλη του έργου να προβληματιστούν σχετικά με τις πτυχές της εργασίας και της πτυχές της ομάδας του έργου και να τους βοηθήσουν να καταλάβουν πώς επηρεάζει η συμπεριφορά τους,   τους άλλους. Ο στόχος τέτοιων πρακτικών είναι η βελτίωση των επιδόσεων του έργου  και η βελτίωση των δυνατοτήτων μάθησης των ατόμων.</w:t>
            </w:r>
            <w:r w:rsidRPr="00083E51">
              <w:rPr>
                <w:i/>
                <w:lang w:val="el-GR"/>
              </w:rPr>
              <w:br/>
            </w:r>
          </w:p>
          <w:p w14:paraId="47D51E30" w14:textId="77777777" w:rsidR="00B60AC6" w:rsidRPr="00214075" w:rsidRDefault="00B60AC6">
            <w:pPr>
              <w:rPr>
                <w:lang w:val="el-GR"/>
              </w:rPr>
            </w:pPr>
          </w:p>
        </w:tc>
      </w:tr>
      <w:tr w:rsidR="00B60AC6" w:rsidRPr="00214075" w14:paraId="4CDD4897" w14:textId="77777777" w:rsidTr="00B60AC6">
        <w:tc>
          <w:tcPr>
            <w:tcW w:w="846" w:type="dxa"/>
          </w:tcPr>
          <w:p w14:paraId="0B173B7C" w14:textId="77777777" w:rsidR="00B60AC6" w:rsidRPr="00214075" w:rsidRDefault="00B60AC6" w:rsidP="00B60AC6">
            <w:pPr>
              <w:pStyle w:val="ListParagraph"/>
              <w:numPr>
                <w:ilvl w:val="0"/>
                <w:numId w:val="1"/>
              </w:numPr>
              <w:ind w:left="447"/>
              <w:rPr>
                <w:lang w:val="el-GR"/>
              </w:rPr>
            </w:pPr>
          </w:p>
        </w:tc>
        <w:tc>
          <w:tcPr>
            <w:tcW w:w="8170" w:type="dxa"/>
          </w:tcPr>
          <w:p w14:paraId="72CF50D0" w14:textId="77777777" w:rsidR="00B60AC6" w:rsidRDefault="00214075">
            <w:pPr>
              <w:rPr>
                <w:lang w:val="el-GR"/>
              </w:rPr>
            </w:pPr>
            <w:r w:rsidRPr="00214075">
              <w:rPr>
                <w:lang w:val="el-GR"/>
              </w:rPr>
              <w:t xml:space="preserve">Η ανάπτυξη της γνώσης  μέσω της αντανακλαστικής πρακτικής μπορεί να μετακινήσει τον εκπαιδευόμενο πέρα από το επίπεδο κατανόησης που είναι διαθέσιμο μέσω της απόκτησης προκαθορισμένης, «εξωτερικής» γνώσης. Μπορεί να επιτρέψει στον εκπαιδευόμενο όχι μόνο να ξανασκεφτεί την </w:t>
            </w:r>
            <w:r w:rsidRPr="00214075">
              <w:rPr>
                <w:lang w:val="el-GR"/>
              </w:rPr>
              <w:lastRenderedPageBreak/>
              <w:t>προηγούμενη εμπειρία και να «γεγονότα» που θεωρεί δεδομένα, αλλά, ενδεχομένως, να αμφισβητήσει και να αναδιατυπώσει πιο βαθιά στάση και συμπεριφορά.</w:t>
            </w:r>
            <w:r w:rsidRPr="00083E51">
              <w:rPr>
                <w:lang w:val="el-GR"/>
              </w:rPr>
              <w:t xml:space="preserve"> </w:t>
            </w:r>
          </w:p>
          <w:p w14:paraId="7C0E54EF" w14:textId="1B6A46E7" w:rsidR="00214075" w:rsidRPr="00214075" w:rsidRDefault="00214075">
            <w:pPr>
              <w:rPr>
                <w:lang w:val="el-GR"/>
              </w:rPr>
            </w:pPr>
          </w:p>
        </w:tc>
      </w:tr>
      <w:tr w:rsidR="00B60AC6" w:rsidRPr="00214075" w14:paraId="719D335C" w14:textId="77777777" w:rsidTr="00B60AC6">
        <w:tc>
          <w:tcPr>
            <w:tcW w:w="846" w:type="dxa"/>
          </w:tcPr>
          <w:p w14:paraId="603694C2" w14:textId="77777777" w:rsidR="00B60AC6" w:rsidRPr="00214075" w:rsidRDefault="00B60AC6" w:rsidP="00B60AC6">
            <w:pPr>
              <w:pStyle w:val="ListParagraph"/>
              <w:numPr>
                <w:ilvl w:val="0"/>
                <w:numId w:val="1"/>
              </w:numPr>
              <w:ind w:left="447"/>
              <w:rPr>
                <w:lang w:val="el-GR"/>
              </w:rPr>
            </w:pPr>
          </w:p>
        </w:tc>
        <w:tc>
          <w:tcPr>
            <w:tcW w:w="8170" w:type="dxa"/>
          </w:tcPr>
          <w:p w14:paraId="28F5B064" w14:textId="5616CA34" w:rsidR="00B60AC6" w:rsidRPr="00214075" w:rsidRDefault="00214075" w:rsidP="00B60AC6">
            <w:pPr>
              <w:rPr>
                <w:lang w:val="el-GR"/>
              </w:rPr>
            </w:pPr>
            <w:r w:rsidRPr="00214075">
              <w:rPr>
                <w:lang w:val="el-GR"/>
              </w:rPr>
              <w:t xml:space="preserve">Υιοθετώντας ένα αναλυτικό μοντέλο συνεργατικής έρευνας που βασίζεται σε μοντέλο κύκλου ζωής του έργου, οι συγγραφείς επικυρώνουν τις προηγούμενες μελέτες της συνεργατικής έρευνας και προσδιορίζουν την </w:t>
            </w:r>
            <w:proofErr w:type="spellStart"/>
            <w:r w:rsidRPr="00214075">
              <w:rPr>
                <w:lang w:val="el-GR"/>
              </w:rPr>
              <w:t>αντανακλαστικότητα</w:t>
            </w:r>
            <w:proofErr w:type="spellEnd"/>
            <w:r w:rsidRPr="00214075">
              <w:rPr>
                <w:lang w:val="el-GR"/>
              </w:rPr>
              <w:t xml:space="preserve"> ως μια διαδικασία ζωτικής σημασίας για την οικοδόμηση της διαπολιτισμικής αποτελεσματικότητας.</w:t>
            </w:r>
          </w:p>
          <w:p w14:paraId="747CC4F7" w14:textId="77777777" w:rsidR="00B60AC6" w:rsidRPr="00214075" w:rsidRDefault="00B60AC6">
            <w:pPr>
              <w:rPr>
                <w:lang w:val="el-GR"/>
              </w:rPr>
            </w:pPr>
          </w:p>
        </w:tc>
      </w:tr>
      <w:tr w:rsidR="00B60AC6" w:rsidRPr="00214075" w14:paraId="611BDA9B" w14:textId="77777777" w:rsidTr="00B60AC6">
        <w:tc>
          <w:tcPr>
            <w:tcW w:w="846" w:type="dxa"/>
          </w:tcPr>
          <w:p w14:paraId="36C84589" w14:textId="77777777" w:rsidR="00B60AC6" w:rsidRPr="00214075" w:rsidRDefault="00B60AC6" w:rsidP="00B60AC6">
            <w:pPr>
              <w:pStyle w:val="ListParagraph"/>
              <w:numPr>
                <w:ilvl w:val="0"/>
                <w:numId w:val="1"/>
              </w:numPr>
              <w:ind w:left="447"/>
              <w:rPr>
                <w:lang w:val="el-GR"/>
              </w:rPr>
            </w:pPr>
          </w:p>
        </w:tc>
        <w:tc>
          <w:tcPr>
            <w:tcW w:w="8170" w:type="dxa"/>
          </w:tcPr>
          <w:p w14:paraId="020008C2" w14:textId="77777777" w:rsidR="00214075" w:rsidRPr="00214075" w:rsidRDefault="00214075" w:rsidP="00214075">
            <w:pPr>
              <w:spacing w:line="276" w:lineRule="auto"/>
              <w:rPr>
                <w:lang w:val="el-GR"/>
              </w:rPr>
            </w:pPr>
            <w:r w:rsidRPr="00214075">
              <w:rPr>
                <w:lang w:val="el-GR"/>
              </w:rPr>
              <w:t>η αποτελεσματικότητα μπορεί να ενισχυθεί μέσα από μια συνειδητή διαδικασία ατομικής και συλλογικής αντανάκλασης και την  ενσωμάτωση της βιωματικής μάθησης στις πρακτικές της ομάδας και σε ολόκληρο τον οργανισμό.</w:t>
            </w:r>
          </w:p>
          <w:p w14:paraId="494BF4ED" w14:textId="77777777" w:rsidR="00214075" w:rsidRPr="00214075" w:rsidRDefault="00214075" w:rsidP="00B60AC6">
            <w:pPr>
              <w:spacing w:line="276" w:lineRule="auto"/>
              <w:rPr>
                <w:lang w:val="el-GR"/>
              </w:rPr>
            </w:pPr>
          </w:p>
          <w:p w14:paraId="434FA28D" w14:textId="77777777" w:rsidR="00B60AC6" w:rsidRPr="00214075" w:rsidRDefault="00B60AC6" w:rsidP="00B60AC6">
            <w:pPr>
              <w:rPr>
                <w:lang w:val="el-GR"/>
              </w:rPr>
            </w:pPr>
          </w:p>
        </w:tc>
      </w:tr>
    </w:tbl>
    <w:p w14:paraId="049E4EEB" w14:textId="77777777" w:rsidR="00B60AC6" w:rsidRPr="00214075" w:rsidRDefault="00B60AC6">
      <w:pPr>
        <w:rPr>
          <w:lang w:val="el-GR"/>
        </w:rPr>
      </w:pPr>
    </w:p>
    <w:sectPr w:rsidR="00B60AC6" w:rsidRPr="00214075" w:rsidSect="00937D5F">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23994" w14:textId="77777777" w:rsidR="00EC083E" w:rsidRDefault="00EC083E" w:rsidP="00214075">
      <w:r>
        <w:separator/>
      </w:r>
    </w:p>
  </w:endnote>
  <w:endnote w:type="continuationSeparator" w:id="0">
    <w:p w14:paraId="71DA6379" w14:textId="77777777" w:rsidR="00EC083E" w:rsidRDefault="00EC083E" w:rsidP="0021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333796"/>
      <w:docPartObj>
        <w:docPartGallery w:val="Page Numbers (Bottom of Page)"/>
        <w:docPartUnique/>
      </w:docPartObj>
    </w:sdtPr>
    <w:sdtEndPr>
      <w:rPr>
        <w:noProof/>
      </w:rPr>
    </w:sdtEndPr>
    <w:sdtContent>
      <w:p w14:paraId="26BC6C73" w14:textId="057E1058" w:rsidR="00214075" w:rsidRDefault="00214075">
        <w:pPr>
          <w:pStyle w:val="Footer"/>
          <w:jc w:val="right"/>
        </w:pPr>
        <w:r>
          <w:fldChar w:fldCharType="begin"/>
        </w:r>
        <w:r>
          <w:instrText xml:space="preserve"> PAGE   \* MERGEFORMAT </w:instrText>
        </w:r>
        <w:r>
          <w:fldChar w:fldCharType="separate"/>
        </w:r>
        <w:r w:rsidR="006E1A2B">
          <w:rPr>
            <w:noProof/>
          </w:rPr>
          <w:t>2</w:t>
        </w:r>
        <w:r>
          <w:rPr>
            <w:noProof/>
          </w:rPr>
          <w:fldChar w:fldCharType="end"/>
        </w:r>
      </w:p>
    </w:sdtContent>
  </w:sdt>
  <w:p w14:paraId="1B194199" w14:textId="77777777" w:rsidR="00214075" w:rsidRDefault="00214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97A49" w14:textId="77777777" w:rsidR="00EC083E" w:rsidRDefault="00EC083E" w:rsidP="00214075">
      <w:r>
        <w:separator/>
      </w:r>
    </w:p>
  </w:footnote>
  <w:footnote w:type="continuationSeparator" w:id="0">
    <w:p w14:paraId="54CD912E" w14:textId="77777777" w:rsidR="00EC083E" w:rsidRDefault="00EC083E" w:rsidP="00214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E050D"/>
    <w:multiLevelType w:val="hybridMultilevel"/>
    <w:tmpl w:val="EB0E2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D4"/>
    <w:rsid w:val="00214075"/>
    <w:rsid w:val="00286BD4"/>
    <w:rsid w:val="00523B3F"/>
    <w:rsid w:val="00534CC8"/>
    <w:rsid w:val="006E1A2B"/>
    <w:rsid w:val="00732D8B"/>
    <w:rsid w:val="00937D5F"/>
    <w:rsid w:val="009A0672"/>
    <w:rsid w:val="00AD4C3C"/>
    <w:rsid w:val="00AF0F6C"/>
    <w:rsid w:val="00B60AC6"/>
    <w:rsid w:val="00C16A43"/>
    <w:rsid w:val="00C958E0"/>
    <w:rsid w:val="00EC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AC6"/>
    <w:pPr>
      <w:ind w:left="720"/>
      <w:contextualSpacing/>
    </w:pPr>
  </w:style>
  <w:style w:type="paragraph" w:styleId="BalloonText">
    <w:name w:val="Balloon Text"/>
    <w:basedOn w:val="Normal"/>
    <w:link w:val="BalloonTextChar"/>
    <w:uiPriority w:val="99"/>
    <w:semiHidden/>
    <w:unhideWhenUsed/>
    <w:rsid w:val="009A0672"/>
    <w:rPr>
      <w:sz w:val="16"/>
      <w:szCs w:val="16"/>
    </w:rPr>
  </w:style>
  <w:style w:type="character" w:customStyle="1" w:styleId="BalloonTextChar">
    <w:name w:val="Balloon Text Char"/>
    <w:basedOn w:val="DefaultParagraphFont"/>
    <w:link w:val="BalloonText"/>
    <w:uiPriority w:val="99"/>
    <w:semiHidden/>
    <w:rsid w:val="009A0672"/>
    <w:rPr>
      <w:sz w:val="16"/>
      <w:szCs w:val="16"/>
    </w:rPr>
  </w:style>
  <w:style w:type="paragraph" w:styleId="Header">
    <w:name w:val="header"/>
    <w:basedOn w:val="Normal"/>
    <w:link w:val="HeaderChar"/>
    <w:uiPriority w:val="99"/>
    <w:unhideWhenUsed/>
    <w:rsid w:val="00214075"/>
    <w:pPr>
      <w:tabs>
        <w:tab w:val="center" w:pos="4320"/>
        <w:tab w:val="right" w:pos="8640"/>
      </w:tabs>
    </w:pPr>
  </w:style>
  <w:style w:type="character" w:customStyle="1" w:styleId="HeaderChar">
    <w:name w:val="Header Char"/>
    <w:basedOn w:val="DefaultParagraphFont"/>
    <w:link w:val="Header"/>
    <w:uiPriority w:val="99"/>
    <w:rsid w:val="00214075"/>
  </w:style>
  <w:style w:type="paragraph" w:styleId="Footer">
    <w:name w:val="footer"/>
    <w:basedOn w:val="Normal"/>
    <w:link w:val="FooterChar"/>
    <w:uiPriority w:val="99"/>
    <w:unhideWhenUsed/>
    <w:rsid w:val="00214075"/>
    <w:pPr>
      <w:tabs>
        <w:tab w:val="center" w:pos="4320"/>
        <w:tab w:val="right" w:pos="8640"/>
      </w:tabs>
    </w:pPr>
  </w:style>
  <w:style w:type="character" w:customStyle="1" w:styleId="FooterChar">
    <w:name w:val="Footer Char"/>
    <w:basedOn w:val="DefaultParagraphFont"/>
    <w:link w:val="Footer"/>
    <w:uiPriority w:val="99"/>
    <w:rsid w:val="00214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AC6"/>
    <w:pPr>
      <w:ind w:left="720"/>
      <w:contextualSpacing/>
    </w:pPr>
  </w:style>
  <w:style w:type="paragraph" w:styleId="BalloonText">
    <w:name w:val="Balloon Text"/>
    <w:basedOn w:val="Normal"/>
    <w:link w:val="BalloonTextChar"/>
    <w:uiPriority w:val="99"/>
    <w:semiHidden/>
    <w:unhideWhenUsed/>
    <w:rsid w:val="009A0672"/>
    <w:rPr>
      <w:sz w:val="16"/>
      <w:szCs w:val="16"/>
    </w:rPr>
  </w:style>
  <w:style w:type="character" w:customStyle="1" w:styleId="BalloonTextChar">
    <w:name w:val="Balloon Text Char"/>
    <w:basedOn w:val="DefaultParagraphFont"/>
    <w:link w:val="BalloonText"/>
    <w:uiPriority w:val="99"/>
    <w:semiHidden/>
    <w:rsid w:val="009A0672"/>
    <w:rPr>
      <w:sz w:val="16"/>
      <w:szCs w:val="16"/>
    </w:rPr>
  </w:style>
  <w:style w:type="paragraph" w:styleId="Header">
    <w:name w:val="header"/>
    <w:basedOn w:val="Normal"/>
    <w:link w:val="HeaderChar"/>
    <w:uiPriority w:val="99"/>
    <w:unhideWhenUsed/>
    <w:rsid w:val="00214075"/>
    <w:pPr>
      <w:tabs>
        <w:tab w:val="center" w:pos="4320"/>
        <w:tab w:val="right" w:pos="8640"/>
      </w:tabs>
    </w:pPr>
  </w:style>
  <w:style w:type="character" w:customStyle="1" w:styleId="HeaderChar">
    <w:name w:val="Header Char"/>
    <w:basedOn w:val="DefaultParagraphFont"/>
    <w:link w:val="Header"/>
    <w:uiPriority w:val="99"/>
    <w:rsid w:val="00214075"/>
  </w:style>
  <w:style w:type="paragraph" w:styleId="Footer">
    <w:name w:val="footer"/>
    <w:basedOn w:val="Normal"/>
    <w:link w:val="FooterChar"/>
    <w:uiPriority w:val="99"/>
    <w:unhideWhenUsed/>
    <w:rsid w:val="00214075"/>
    <w:pPr>
      <w:tabs>
        <w:tab w:val="center" w:pos="4320"/>
        <w:tab w:val="right" w:pos="8640"/>
      </w:tabs>
    </w:pPr>
  </w:style>
  <w:style w:type="character" w:customStyle="1" w:styleId="FooterChar">
    <w:name w:val="Footer Char"/>
    <w:basedOn w:val="DefaultParagraphFont"/>
    <w:link w:val="Footer"/>
    <w:uiPriority w:val="99"/>
    <w:rsid w:val="0021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Athena Knais</cp:lastModifiedBy>
  <cp:revision>5</cp:revision>
  <cp:lastPrinted>2018-07-24T12:26:00Z</cp:lastPrinted>
  <dcterms:created xsi:type="dcterms:W3CDTF">2018-07-24T12:26:00Z</dcterms:created>
  <dcterms:modified xsi:type="dcterms:W3CDTF">2018-08-06T11:35:00Z</dcterms:modified>
</cp:coreProperties>
</file>