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83C85" w14:textId="213EE492" w:rsidR="00AF4C3D" w:rsidRPr="001C7C9D" w:rsidRDefault="00E63D57">
      <w:pPr>
        <w:rPr>
          <w:b/>
          <w:lang w:val="el-GR"/>
        </w:rPr>
      </w:pPr>
      <w:r>
        <w:rPr>
          <w:b/>
          <w:lang w:val="el-GR"/>
        </w:rPr>
        <w:t xml:space="preserve">Τοποθέτηση των παραγράφων για την ταξινόμηση του </w:t>
      </w:r>
      <w:r w:rsidR="00C82F00" w:rsidRPr="00C82F00">
        <w:rPr>
          <w:b/>
        </w:rPr>
        <w:t>Bloom</w:t>
      </w:r>
    </w:p>
    <w:p w14:paraId="72BF48EE" w14:textId="0E47D8D1" w:rsidR="00C82F00" w:rsidRPr="00E63D57" w:rsidRDefault="00C82F00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C82F00" w:rsidRPr="006F227C" w14:paraId="0481F95D" w14:textId="77777777" w:rsidTr="00C82F00">
        <w:tc>
          <w:tcPr>
            <w:tcW w:w="1838" w:type="dxa"/>
          </w:tcPr>
          <w:p w14:paraId="210A40DE" w14:textId="77777777" w:rsidR="00C82F00" w:rsidRPr="00E63D57" w:rsidRDefault="00C82F00" w:rsidP="00C82F00">
            <w:pPr>
              <w:jc w:val="center"/>
              <w:rPr>
                <w:sz w:val="44"/>
                <w:lang w:val="el-GR"/>
              </w:rPr>
            </w:pPr>
          </w:p>
          <w:p w14:paraId="3A4B6728" w14:textId="74955C7E" w:rsidR="00C82F00" w:rsidRPr="00C82F00" w:rsidRDefault="00C82F00" w:rsidP="00C82F00">
            <w:pPr>
              <w:jc w:val="center"/>
              <w:rPr>
                <w:sz w:val="44"/>
              </w:rPr>
            </w:pPr>
            <w:r w:rsidRPr="00C82F00">
              <w:rPr>
                <w:sz w:val="44"/>
              </w:rPr>
              <w:t>A</w:t>
            </w:r>
          </w:p>
        </w:tc>
        <w:tc>
          <w:tcPr>
            <w:tcW w:w="8618" w:type="dxa"/>
          </w:tcPr>
          <w:p w14:paraId="626EE018" w14:textId="77777777" w:rsidR="00C82F00" w:rsidRPr="006F227C" w:rsidRDefault="00C82F00" w:rsidP="00C82F00">
            <w:pPr>
              <w:rPr>
                <w:lang w:val="el-GR"/>
              </w:rPr>
            </w:pPr>
          </w:p>
          <w:p w14:paraId="5571F751" w14:textId="3CF79017" w:rsidR="00C82F00" w:rsidRPr="006F227C" w:rsidRDefault="00C82F00" w:rsidP="00C82F00">
            <w:pPr>
              <w:rPr>
                <w:lang w:val="el-GR"/>
              </w:rPr>
            </w:pPr>
          </w:p>
          <w:p w14:paraId="68AE20B4" w14:textId="005F92AF" w:rsidR="008B52BF" w:rsidRPr="008B52BF" w:rsidRDefault="008B52BF" w:rsidP="00C82F00">
            <w:pPr>
              <w:rPr>
                <w:lang w:val="el-GR"/>
              </w:rPr>
            </w:pPr>
            <w:r w:rsidRPr="008B52BF">
              <w:rPr>
                <w:lang w:val="el-GR"/>
              </w:rPr>
              <w:t xml:space="preserve">Η ταξινόμηση του </w:t>
            </w:r>
            <w:r w:rsidRPr="008B52BF">
              <w:t>Bloom</w:t>
            </w:r>
            <w:r w:rsidRPr="008B52BF">
              <w:rPr>
                <w:lang w:val="el-GR"/>
              </w:rPr>
              <w:t xml:space="preserve"> για τον συναισθηματικό τομέα μπορεί να αναπαρασταθεί ως πυραμίδα. </w:t>
            </w:r>
            <w:r w:rsidRPr="006F227C">
              <w:rPr>
                <w:lang w:val="el-GR"/>
              </w:rPr>
              <w:t xml:space="preserve">Οι συμπεριφορές στη βάση της πυραμίδας είναι εκείνες που απαιτούν τη λιγότερο συνειδητή δράση. </w:t>
            </w:r>
            <w:r w:rsidRPr="008B52BF">
              <w:rPr>
                <w:lang w:val="el-GR"/>
              </w:rPr>
              <w:t>Καθώς ανεβαίνουμε την πυραμίδα από τη βάση, μπορούμε να αρχίσουμε να γράφουμε ένα ταξίδι για τη μεγιστοποίηση της επικοινωνιακής μας ικανότητας</w:t>
            </w:r>
            <w:r>
              <w:rPr>
                <w:lang w:val="el-GR"/>
              </w:rPr>
              <w:t>.</w:t>
            </w:r>
          </w:p>
          <w:p w14:paraId="79C137AE" w14:textId="77777777" w:rsidR="00C82F00" w:rsidRPr="008B52BF" w:rsidRDefault="00C82F00">
            <w:pPr>
              <w:rPr>
                <w:lang w:val="el-GR"/>
              </w:rPr>
            </w:pPr>
          </w:p>
        </w:tc>
      </w:tr>
      <w:tr w:rsidR="00C82F00" w:rsidRPr="006F227C" w14:paraId="2A97ED98" w14:textId="77777777" w:rsidTr="00C82F00">
        <w:tc>
          <w:tcPr>
            <w:tcW w:w="1838" w:type="dxa"/>
          </w:tcPr>
          <w:p w14:paraId="0FE0F54D" w14:textId="77777777" w:rsidR="00C82F00" w:rsidRPr="008B52BF" w:rsidRDefault="00C82F00" w:rsidP="00C82F00">
            <w:pPr>
              <w:jc w:val="center"/>
              <w:rPr>
                <w:sz w:val="44"/>
                <w:lang w:val="el-GR"/>
              </w:rPr>
            </w:pPr>
          </w:p>
          <w:p w14:paraId="3FDCB414" w14:textId="21673820" w:rsidR="00C82F00" w:rsidRPr="00C82F00" w:rsidRDefault="00C82F00" w:rsidP="00C82F00">
            <w:pPr>
              <w:jc w:val="center"/>
              <w:rPr>
                <w:sz w:val="44"/>
              </w:rPr>
            </w:pPr>
            <w:r w:rsidRPr="00C82F00">
              <w:rPr>
                <w:sz w:val="44"/>
              </w:rPr>
              <w:t>B</w:t>
            </w:r>
          </w:p>
        </w:tc>
        <w:tc>
          <w:tcPr>
            <w:tcW w:w="8618" w:type="dxa"/>
          </w:tcPr>
          <w:p w14:paraId="26A63BEA" w14:textId="77777777" w:rsidR="00C82F00" w:rsidRPr="006F227C" w:rsidRDefault="00C82F00" w:rsidP="00C82F00">
            <w:pPr>
              <w:rPr>
                <w:lang w:val="el-GR"/>
              </w:rPr>
            </w:pPr>
          </w:p>
          <w:p w14:paraId="7C6C9D35" w14:textId="2950A039" w:rsidR="008B52BF" w:rsidRPr="008B52BF" w:rsidRDefault="008B52BF" w:rsidP="00C82F00">
            <w:pPr>
              <w:rPr>
                <w:lang w:val="el-GR"/>
              </w:rPr>
            </w:pPr>
            <w:r w:rsidRPr="008B52BF">
              <w:rPr>
                <w:lang w:val="el-GR"/>
              </w:rPr>
              <w:t xml:space="preserve">Ο συναισθηματικός τομέας είναι πολύ χρήσιμος για μας όταν εξετάζουμε τη διαπολιτισμική επικοινωνία. </w:t>
            </w:r>
            <w:r w:rsidRPr="006F227C">
              <w:rPr>
                <w:lang w:val="el-GR"/>
              </w:rPr>
              <w:t xml:space="preserve">Αυτό συμβαίνει επειδή παρέχει ένα πλαίσιο που περιγράφει τις συμπεριφορές. </w:t>
            </w:r>
            <w:r w:rsidRPr="008B52BF">
              <w:rPr>
                <w:lang w:val="el-GR"/>
              </w:rPr>
              <w:t xml:space="preserve">Οι συμπεριφορές συνδέονται με και προκαλούνται από συναισθήματα και </w:t>
            </w:r>
            <w:r>
              <w:rPr>
                <w:lang w:val="el-GR"/>
              </w:rPr>
              <w:t>αισθήματα</w:t>
            </w:r>
            <w:r w:rsidRPr="008B52BF">
              <w:rPr>
                <w:lang w:val="el-GR"/>
              </w:rPr>
              <w:t xml:space="preserve">. Τα συναισθήματα και τα </w:t>
            </w:r>
            <w:r>
              <w:rPr>
                <w:lang w:val="el-GR"/>
              </w:rPr>
              <w:t>αισθήματα</w:t>
            </w:r>
            <w:r w:rsidRPr="008B52BF">
              <w:rPr>
                <w:lang w:val="el-GR"/>
              </w:rPr>
              <w:t xml:space="preserve"> συνδέονται στενά με τις βασικές αξίες, τις στάσεις και τα κίνητρα των ατόμων.</w:t>
            </w:r>
          </w:p>
          <w:p w14:paraId="10F538FD" w14:textId="77777777" w:rsidR="00C82F00" w:rsidRPr="008B52BF" w:rsidRDefault="00C82F00" w:rsidP="00C82F00">
            <w:pPr>
              <w:rPr>
                <w:lang w:val="el-GR"/>
              </w:rPr>
            </w:pPr>
          </w:p>
        </w:tc>
      </w:tr>
      <w:tr w:rsidR="00C82F00" w:rsidRPr="006F227C" w14:paraId="66FDA776" w14:textId="77777777" w:rsidTr="00C82F00">
        <w:tc>
          <w:tcPr>
            <w:tcW w:w="1838" w:type="dxa"/>
          </w:tcPr>
          <w:p w14:paraId="636A5439" w14:textId="77777777" w:rsidR="00C82F00" w:rsidRPr="008B52BF" w:rsidRDefault="00C82F00" w:rsidP="00C82F00">
            <w:pPr>
              <w:jc w:val="center"/>
              <w:rPr>
                <w:sz w:val="44"/>
                <w:lang w:val="el-GR"/>
              </w:rPr>
            </w:pPr>
          </w:p>
          <w:p w14:paraId="7072C972" w14:textId="1E48D2F1" w:rsidR="00C82F00" w:rsidRPr="008B52BF" w:rsidRDefault="008B52BF" w:rsidP="00C82F00">
            <w:pPr>
              <w:jc w:val="center"/>
              <w:rPr>
                <w:sz w:val="44"/>
                <w:lang w:val="el-GR"/>
              </w:rPr>
            </w:pPr>
            <w:r>
              <w:rPr>
                <w:sz w:val="44"/>
                <w:lang w:val="el-GR"/>
              </w:rPr>
              <w:t>Γ</w:t>
            </w:r>
          </w:p>
        </w:tc>
        <w:tc>
          <w:tcPr>
            <w:tcW w:w="8618" w:type="dxa"/>
          </w:tcPr>
          <w:p w14:paraId="2D1A45E3" w14:textId="77777777" w:rsidR="00C82F00" w:rsidRPr="006F227C" w:rsidRDefault="00C82F00" w:rsidP="00C82F00">
            <w:pPr>
              <w:rPr>
                <w:lang w:val="el-GR"/>
              </w:rPr>
            </w:pPr>
          </w:p>
          <w:p w14:paraId="2F697B42" w14:textId="58BCCE9C" w:rsidR="00C82F00" w:rsidRPr="008B52BF" w:rsidRDefault="001C7C9D" w:rsidP="00C82F0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Ταξινόμηση</w:t>
            </w:r>
            <w:r w:rsidR="008B52BF" w:rsidRPr="008B52BF">
              <w:rPr>
                <w:b/>
                <w:lang w:val="el-GR"/>
              </w:rPr>
              <w:t xml:space="preserve"> </w:t>
            </w:r>
            <w:r w:rsidR="008B52BF">
              <w:rPr>
                <w:b/>
                <w:lang w:val="el-GR"/>
              </w:rPr>
              <w:t>του</w:t>
            </w:r>
            <w:r w:rsidR="008B52BF" w:rsidRPr="008B52BF">
              <w:rPr>
                <w:b/>
                <w:lang w:val="el-GR"/>
              </w:rPr>
              <w:t xml:space="preserve"> </w:t>
            </w:r>
            <w:r w:rsidR="008B52BF">
              <w:rPr>
                <w:b/>
              </w:rPr>
              <w:t>Bloom</w:t>
            </w:r>
            <w:r w:rsidR="00C82F00" w:rsidRPr="008B52BF">
              <w:rPr>
                <w:b/>
                <w:lang w:val="el-GR"/>
              </w:rPr>
              <w:t xml:space="preserve">: </w:t>
            </w:r>
            <w:r w:rsidR="008B52BF">
              <w:rPr>
                <w:b/>
                <w:lang w:val="el-GR"/>
              </w:rPr>
              <w:t>Ο συναισθηματικός τομέας</w:t>
            </w:r>
          </w:p>
          <w:p w14:paraId="7CAA6C83" w14:textId="77777777" w:rsidR="00C82F00" w:rsidRPr="008B52BF" w:rsidRDefault="00C82F00" w:rsidP="00C82F00">
            <w:pPr>
              <w:rPr>
                <w:lang w:val="el-GR"/>
              </w:rPr>
            </w:pPr>
          </w:p>
          <w:p w14:paraId="1DFA73DB" w14:textId="3E2E1766" w:rsidR="008B52BF" w:rsidRPr="006F227C" w:rsidRDefault="008B52BF" w:rsidP="00C82F00">
            <w:pPr>
              <w:rPr>
                <w:lang w:val="el-GR"/>
              </w:rPr>
            </w:pPr>
            <w:r w:rsidRPr="006F227C">
              <w:rPr>
                <w:lang w:val="el-GR"/>
              </w:rPr>
              <w:t xml:space="preserve">Όταν οι περισσότεροι άνθρωποι συζητούν τη ταξινόμηση του </w:t>
            </w:r>
            <w:r w:rsidRPr="006F227C">
              <w:t>Bloom</w:t>
            </w:r>
            <w:r w:rsidRPr="006F227C">
              <w:rPr>
                <w:lang w:val="el-GR"/>
              </w:rPr>
              <w:t>, το μοντέλο που συνήθως κοιτάζουν  είναι ο γνωστικός τομέας. Υπάρχουν, ωστόσο, τρεις τομείς: ο γνωστικός, 0 αισθητηριακός και ο συναισθηματικός</w:t>
            </w:r>
            <w:r w:rsidR="006F227C">
              <w:rPr>
                <w:lang w:val="el-GR"/>
              </w:rPr>
              <w:t>.</w:t>
            </w:r>
            <w:r w:rsidRPr="006F227C">
              <w:rPr>
                <w:lang w:val="el-GR"/>
              </w:rPr>
              <w:t xml:space="preserve"> </w:t>
            </w:r>
          </w:p>
          <w:p w14:paraId="7EA6FB25" w14:textId="77777777" w:rsidR="00C82F00" w:rsidRPr="008B52BF" w:rsidRDefault="00C82F00" w:rsidP="00C82F00">
            <w:pPr>
              <w:rPr>
                <w:lang w:val="el-GR"/>
              </w:rPr>
            </w:pPr>
          </w:p>
        </w:tc>
      </w:tr>
      <w:tr w:rsidR="00C82F00" w:rsidRPr="006F227C" w14:paraId="6CD6DB14" w14:textId="77777777" w:rsidTr="00C82F00">
        <w:tc>
          <w:tcPr>
            <w:tcW w:w="1838" w:type="dxa"/>
          </w:tcPr>
          <w:p w14:paraId="5CE26AA1" w14:textId="77777777" w:rsidR="00C82F00" w:rsidRPr="008B52BF" w:rsidRDefault="00C82F00" w:rsidP="00C82F00">
            <w:pPr>
              <w:jc w:val="center"/>
              <w:rPr>
                <w:sz w:val="44"/>
                <w:lang w:val="el-GR"/>
              </w:rPr>
            </w:pPr>
          </w:p>
          <w:p w14:paraId="46E7FECE" w14:textId="7DAAB877" w:rsidR="00C82F00" w:rsidRPr="008B52BF" w:rsidRDefault="008B52BF" w:rsidP="00C82F00">
            <w:pPr>
              <w:jc w:val="center"/>
              <w:rPr>
                <w:sz w:val="44"/>
                <w:lang w:val="el-GR"/>
              </w:rPr>
            </w:pPr>
            <w:r>
              <w:rPr>
                <w:sz w:val="44"/>
                <w:lang w:val="el-GR"/>
              </w:rPr>
              <w:t>Δ</w:t>
            </w:r>
          </w:p>
        </w:tc>
        <w:tc>
          <w:tcPr>
            <w:tcW w:w="8618" w:type="dxa"/>
          </w:tcPr>
          <w:p w14:paraId="39149B7A" w14:textId="77777777" w:rsidR="00C82F00" w:rsidRPr="008B52BF" w:rsidRDefault="00C82F00" w:rsidP="00C82F00">
            <w:pPr>
              <w:rPr>
                <w:lang w:val="el-GR"/>
              </w:rPr>
            </w:pPr>
          </w:p>
          <w:p w14:paraId="4FB7AC84" w14:textId="1ACEBC8A" w:rsidR="008B52BF" w:rsidRPr="006F227C" w:rsidRDefault="008B52BF" w:rsidP="00C82F00">
            <w:pPr>
              <w:rPr>
                <w:lang w:val="el-GR"/>
              </w:rPr>
            </w:pPr>
            <w:r>
              <w:rPr>
                <w:lang w:val="el-GR"/>
              </w:rPr>
              <w:t xml:space="preserve">Για </w:t>
            </w:r>
            <w:r w:rsidRPr="008B52BF">
              <w:rPr>
                <w:lang w:val="el-GR"/>
              </w:rPr>
              <w:t xml:space="preserve"> να αναπτυχθεί η επικοινωνιακή ικανότητα, πρέπει να εργαστούμε συνειδητά για να δείξουμε συμπεριφορές που βρίσκονται στο ανώτερο άκρο της συναισθηματικής </w:t>
            </w:r>
            <w:r w:rsidR="001C7C9D" w:rsidRPr="008B52BF">
              <w:rPr>
                <w:lang w:val="el-GR"/>
              </w:rPr>
              <w:t>ταξον</w:t>
            </w:r>
            <w:r w:rsidR="001C7C9D">
              <w:rPr>
                <w:lang w:val="el-GR"/>
              </w:rPr>
              <w:t>όμησης</w:t>
            </w:r>
            <w:r w:rsidRPr="008B52BF">
              <w:rPr>
                <w:lang w:val="el-GR"/>
              </w:rPr>
              <w:t xml:space="preserve">. </w:t>
            </w:r>
            <w:r w:rsidRPr="006F227C">
              <w:rPr>
                <w:lang w:val="el-GR"/>
              </w:rPr>
              <w:t>Είναι ακόμη πιο σημαντικό να δουλεύουμε στα υψηλότερα επίπεδα του συναισθηματικού τομέα όταν η επικοινωνία θα πραγματοποιηθεί σε ένα πολιτιστικό όριο. Αυτό συμβαίνει επειδή η μετάβαση από μια πολιτιστική «θέση» σε άλλη μπορεί να είναι σαν να μπαίνεις σε μια περιοχή θολών εννοιών, που μπορεί, σε ορισμένες περιπτώσεις, να εμποδίσει ή να απαγορέψει την επικοινωνία ή να οδηγήσει σε μεγαλύτερο αριθμό παρερμηνειών.</w:t>
            </w:r>
          </w:p>
          <w:p w14:paraId="4D270425" w14:textId="77777777" w:rsidR="00C82F00" w:rsidRPr="008B52BF" w:rsidRDefault="00C82F00" w:rsidP="00C82F00">
            <w:pPr>
              <w:rPr>
                <w:lang w:val="el-GR"/>
              </w:rPr>
            </w:pPr>
          </w:p>
        </w:tc>
      </w:tr>
      <w:tr w:rsidR="00C82F00" w:rsidRPr="006F227C" w14:paraId="5ADB9700" w14:textId="77777777" w:rsidTr="00C82F00">
        <w:tc>
          <w:tcPr>
            <w:tcW w:w="1838" w:type="dxa"/>
          </w:tcPr>
          <w:p w14:paraId="21B9B37F" w14:textId="2991A03E" w:rsidR="00C82F00" w:rsidRPr="008B52BF" w:rsidRDefault="00C82F00" w:rsidP="00C82F00">
            <w:pPr>
              <w:jc w:val="center"/>
              <w:rPr>
                <w:sz w:val="44"/>
                <w:lang w:val="el-GR"/>
              </w:rPr>
            </w:pPr>
          </w:p>
          <w:p w14:paraId="52BD2557" w14:textId="77777777" w:rsidR="009D456C" w:rsidRPr="008B52BF" w:rsidRDefault="009D456C" w:rsidP="00C82F00">
            <w:pPr>
              <w:jc w:val="center"/>
              <w:rPr>
                <w:sz w:val="44"/>
                <w:lang w:val="el-GR"/>
              </w:rPr>
            </w:pPr>
          </w:p>
          <w:p w14:paraId="596874FB" w14:textId="7521835E" w:rsidR="00C82F00" w:rsidRPr="00C82F00" w:rsidRDefault="00C82F00" w:rsidP="00C82F00">
            <w:pPr>
              <w:jc w:val="center"/>
              <w:rPr>
                <w:sz w:val="44"/>
              </w:rPr>
            </w:pPr>
            <w:r w:rsidRPr="00C82F00">
              <w:rPr>
                <w:sz w:val="44"/>
              </w:rPr>
              <w:t>E</w:t>
            </w:r>
          </w:p>
        </w:tc>
        <w:tc>
          <w:tcPr>
            <w:tcW w:w="8618" w:type="dxa"/>
          </w:tcPr>
          <w:p w14:paraId="3D5C2DFC" w14:textId="77777777" w:rsidR="00C82F00" w:rsidRPr="006F227C" w:rsidRDefault="00C82F00" w:rsidP="00C82F00">
            <w:pPr>
              <w:rPr>
                <w:lang w:val="el-GR"/>
              </w:rPr>
            </w:pPr>
          </w:p>
          <w:p w14:paraId="63A3F571" w14:textId="7B501E2F" w:rsidR="008B52BF" w:rsidRPr="008B52BF" w:rsidRDefault="008B52BF" w:rsidP="00C82F00">
            <w:pPr>
              <w:rPr>
                <w:lang w:val="el-GR"/>
              </w:rPr>
            </w:pPr>
            <w:bookmarkStart w:id="0" w:name="_GoBack"/>
            <w:r w:rsidRPr="008B52BF">
              <w:rPr>
                <w:lang w:val="el-GR"/>
              </w:rPr>
              <w:t xml:space="preserve">Το μοντέλο της πυραμίδας είναι χρήσιμο εδώ, διότι μας δείχνει πώς η σχεδόν καθολική πτυχή της επικοινωνίας, εκείνη της λήψης φαινομένων, προκαλεί μια απάντηση σε ό, τι έχει ληφθεί. </w:t>
            </w:r>
            <w:r w:rsidRPr="006F227C">
              <w:rPr>
                <w:lang w:val="el-GR"/>
              </w:rPr>
              <w:t xml:space="preserve">Από εκεί αρχίζουμε να αποδίδουμε αξία σε αυτά που έχουμε λάβει και στη συνέχεια να οργανώσουμε τις πληροφορίες ώστε να το κατανοήσουμε. Τελικά ενσωματώνουμε τις πληροφορίες που έχουν </w:t>
            </w:r>
            <w:proofErr w:type="spellStart"/>
            <w:r w:rsidRPr="006F227C">
              <w:rPr>
                <w:lang w:val="el-GR"/>
              </w:rPr>
              <w:t>επικοινωνηθεί</w:t>
            </w:r>
            <w:proofErr w:type="spellEnd"/>
            <w:r w:rsidRPr="006F227C">
              <w:rPr>
                <w:lang w:val="el-GR"/>
              </w:rPr>
              <w:t xml:space="preserve">. </w:t>
            </w:r>
            <w:r w:rsidRPr="008B52BF">
              <w:rPr>
                <w:lang w:val="el-GR"/>
              </w:rPr>
              <w:t>Θα μπορούσαμε να πο</w:t>
            </w:r>
            <w:r>
              <w:rPr>
                <w:lang w:val="el-GR"/>
              </w:rPr>
              <w:t>ύ</w:t>
            </w:r>
            <w:r w:rsidRPr="008B52BF">
              <w:rPr>
                <w:lang w:val="el-GR"/>
              </w:rPr>
              <w:t>με μεταφορικά, ότι το τοποθετούμε στο προσωπικό μας παγόβουνο.</w:t>
            </w:r>
          </w:p>
          <w:bookmarkEnd w:id="0"/>
          <w:p w14:paraId="175CB6C0" w14:textId="77777777" w:rsidR="00C82F00" w:rsidRPr="008B52BF" w:rsidRDefault="00C82F00" w:rsidP="00C82F00">
            <w:pPr>
              <w:rPr>
                <w:lang w:val="el-GR"/>
              </w:rPr>
            </w:pPr>
          </w:p>
        </w:tc>
      </w:tr>
      <w:tr w:rsidR="00C82F00" w:rsidRPr="006F227C" w14:paraId="2D9C717D" w14:textId="77777777" w:rsidTr="00C82F00">
        <w:tc>
          <w:tcPr>
            <w:tcW w:w="1838" w:type="dxa"/>
          </w:tcPr>
          <w:p w14:paraId="504FE571" w14:textId="3D4E6B00" w:rsidR="00C82F00" w:rsidRPr="008B52BF" w:rsidRDefault="00C82F00" w:rsidP="00C82F00">
            <w:pPr>
              <w:jc w:val="center"/>
              <w:rPr>
                <w:sz w:val="44"/>
                <w:lang w:val="el-GR"/>
              </w:rPr>
            </w:pPr>
          </w:p>
          <w:p w14:paraId="046BA42A" w14:textId="77777777" w:rsidR="009D456C" w:rsidRPr="008B52BF" w:rsidRDefault="009D456C" w:rsidP="00C82F00">
            <w:pPr>
              <w:jc w:val="center"/>
              <w:rPr>
                <w:sz w:val="32"/>
                <w:lang w:val="el-GR"/>
              </w:rPr>
            </w:pPr>
          </w:p>
          <w:p w14:paraId="1F9157AC" w14:textId="453740BB" w:rsidR="00C82F00" w:rsidRPr="008B52BF" w:rsidRDefault="008B52BF" w:rsidP="00C82F00">
            <w:pPr>
              <w:jc w:val="center"/>
              <w:rPr>
                <w:sz w:val="44"/>
                <w:lang w:val="el-GR"/>
              </w:rPr>
            </w:pPr>
            <w:r>
              <w:rPr>
                <w:sz w:val="44"/>
                <w:lang w:val="el-GR"/>
              </w:rPr>
              <w:t>Ζ</w:t>
            </w:r>
          </w:p>
        </w:tc>
        <w:tc>
          <w:tcPr>
            <w:tcW w:w="8618" w:type="dxa"/>
          </w:tcPr>
          <w:p w14:paraId="4EACB6E5" w14:textId="77777777" w:rsidR="00C82F00" w:rsidRPr="008B52BF" w:rsidRDefault="00C82F00" w:rsidP="00C82F00">
            <w:pPr>
              <w:rPr>
                <w:lang w:val="el-GR"/>
              </w:rPr>
            </w:pPr>
          </w:p>
          <w:p w14:paraId="65BA96B5" w14:textId="4D59FF52" w:rsidR="00C82F00" w:rsidRPr="008B52BF" w:rsidRDefault="008B52BF" w:rsidP="00C82F00">
            <w:pPr>
              <w:rPr>
                <w:lang w:val="el-GR"/>
              </w:rPr>
            </w:pPr>
            <w:r w:rsidRPr="008B52BF">
              <w:rPr>
                <w:lang w:val="el-GR"/>
              </w:rPr>
              <w:t xml:space="preserve">Το παγόβουνο του πολιτισμού απεικόνιζε πόσο οι εσωτερικές αξίες  επηρέασαν τελικά τη συμπεριφορά. </w:t>
            </w:r>
            <w:r w:rsidRPr="006F227C">
              <w:rPr>
                <w:lang w:val="el-GR"/>
              </w:rPr>
              <w:t xml:space="preserve">Μια πτυχή της συμπεριφοράς που είναι εξέχουσα στον τομέα των διαπολιτισμικών σπουδών είναι η επικοινωνία - σε όλες τις μορφές και στυλ της. Ο τρόπος που επικοινωνούμε, ανεξάρτητα από τη μορφή, το στυλ, το μέσο, το σκοπό ή το κοινό, επηρεάζεται από τις αξίες, τις στάσεις και </w:t>
            </w:r>
            <w:r w:rsidRPr="006F227C">
              <w:rPr>
                <w:lang w:val="el-GR"/>
              </w:rPr>
              <w:lastRenderedPageBreak/>
              <w:t xml:space="preserve">τα κίνητρά μας. </w:t>
            </w:r>
            <w:r w:rsidRPr="008B52BF">
              <w:rPr>
                <w:lang w:val="el-GR"/>
              </w:rPr>
              <w:t>Ομοίως, ο τρόπος με τον οποίο κάθε επικοινωνία λαμβάνεται, ερμηνεύεται ή γίνεται κατανοητή, συνδέεται με αυτές τις ίδιες βασικές αξίες</w:t>
            </w:r>
            <w:r>
              <w:rPr>
                <w:lang w:val="el-GR"/>
              </w:rPr>
              <w:t>.</w:t>
            </w:r>
            <w:r w:rsidR="00C82F00" w:rsidRPr="008B52BF">
              <w:rPr>
                <w:lang w:val="el-GR"/>
              </w:rPr>
              <w:t xml:space="preserve"> </w:t>
            </w:r>
          </w:p>
          <w:p w14:paraId="25DD15DC" w14:textId="77777777" w:rsidR="00C82F00" w:rsidRPr="008B52BF" w:rsidRDefault="00C82F00" w:rsidP="00C82F00">
            <w:pPr>
              <w:rPr>
                <w:lang w:val="el-GR"/>
              </w:rPr>
            </w:pPr>
          </w:p>
        </w:tc>
      </w:tr>
    </w:tbl>
    <w:p w14:paraId="6A510149" w14:textId="77777777" w:rsidR="00AF0F6C" w:rsidRPr="008B52BF" w:rsidRDefault="00AF0F6C" w:rsidP="00E765C0">
      <w:pPr>
        <w:rPr>
          <w:lang w:val="el-GR"/>
        </w:rPr>
      </w:pPr>
    </w:p>
    <w:sectPr w:rsidR="00AF0F6C" w:rsidRPr="008B52BF" w:rsidSect="00C82F0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BAAB9" w14:textId="77777777" w:rsidR="0063112F" w:rsidRDefault="0063112F" w:rsidP="00226F71">
      <w:r>
        <w:separator/>
      </w:r>
    </w:p>
  </w:endnote>
  <w:endnote w:type="continuationSeparator" w:id="0">
    <w:p w14:paraId="41E0578C" w14:textId="77777777" w:rsidR="0063112F" w:rsidRDefault="0063112F" w:rsidP="002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9CEE" w14:textId="1D18BBBF" w:rsidR="008B52BF" w:rsidRPr="008B52BF" w:rsidRDefault="008B52BF">
    <w:pPr>
      <w:pStyle w:val="Footer"/>
      <w:rPr>
        <w:lang w:val="el-GR"/>
      </w:rPr>
    </w:pPr>
    <w:r>
      <w:rPr>
        <w:lang w:val="el-GR"/>
      </w:rPr>
      <w:t>Κόψετε τις παραγράφους πριν ξεκινήσετε την δραστηριότητα αυτή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8E12F" w14:textId="77777777" w:rsidR="0063112F" w:rsidRDefault="0063112F" w:rsidP="00226F71">
      <w:r>
        <w:separator/>
      </w:r>
    </w:p>
  </w:footnote>
  <w:footnote w:type="continuationSeparator" w:id="0">
    <w:p w14:paraId="41715352" w14:textId="77777777" w:rsidR="0063112F" w:rsidRDefault="0063112F" w:rsidP="0022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5AD"/>
    <w:multiLevelType w:val="hybridMultilevel"/>
    <w:tmpl w:val="525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0023"/>
    <w:multiLevelType w:val="hybridMultilevel"/>
    <w:tmpl w:val="EDE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51F48"/>
    <w:multiLevelType w:val="hybridMultilevel"/>
    <w:tmpl w:val="6E58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881"/>
    <w:multiLevelType w:val="hybridMultilevel"/>
    <w:tmpl w:val="642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23E92"/>
    <w:multiLevelType w:val="hybridMultilevel"/>
    <w:tmpl w:val="5C60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8C"/>
    <w:rsid w:val="000D2886"/>
    <w:rsid w:val="000E254D"/>
    <w:rsid w:val="001C706B"/>
    <w:rsid w:val="001C7C9D"/>
    <w:rsid w:val="00226F71"/>
    <w:rsid w:val="00243665"/>
    <w:rsid w:val="00377957"/>
    <w:rsid w:val="00386DE4"/>
    <w:rsid w:val="00434822"/>
    <w:rsid w:val="00534CC8"/>
    <w:rsid w:val="00584DF5"/>
    <w:rsid w:val="00596A7C"/>
    <w:rsid w:val="0063112F"/>
    <w:rsid w:val="006E0F2F"/>
    <w:rsid w:val="006F227C"/>
    <w:rsid w:val="007A2BD8"/>
    <w:rsid w:val="007B7855"/>
    <w:rsid w:val="00842B95"/>
    <w:rsid w:val="0088038C"/>
    <w:rsid w:val="008B52BF"/>
    <w:rsid w:val="0091093A"/>
    <w:rsid w:val="00960FCB"/>
    <w:rsid w:val="009D456C"/>
    <w:rsid w:val="009D6562"/>
    <w:rsid w:val="00A33862"/>
    <w:rsid w:val="00A650A6"/>
    <w:rsid w:val="00AE78B4"/>
    <w:rsid w:val="00AF0F6C"/>
    <w:rsid w:val="00AF4C3D"/>
    <w:rsid w:val="00B54F20"/>
    <w:rsid w:val="00C16A43"/>
    <w:rsid w:val="00C3472D"/>
    <w:rsid w:val="00C82F00"/>
    <w:rsid w:val="00C8425D"/>
    <w:rsid w:val="00C958E0"/>
    <w:rsid w:val="00CE740F"/>
    <w:rsid w:val="00DF4FA1"/>
    <w:rsid w:val="00E63D57"/>
    <w:rsid w:val="00E765C0"/>
    <w:rsid w:val="00F01AAC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2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TableGrid">
    <w:name w:val="Table Grid"/>
    <w:basedOn w:val="TableNormal"/>
    <w:uiPriority w:val="39"/>
    <w:rsid w:val="0088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0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8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6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F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42"/>
  </w:style>
  <w:style w:type="paragraph" w:styleId="Footer">
    <w:name w:val="footer"/>
    <w:basedOn w:val="Normal"/>
    <w:link w:val="FooterChar"/>
    <w:uiPriority w:val="99"/>
    <w:unhideWhenUsed/>
    <w:rsid w:val="00FD0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TableGrid">
    <w:name w:val="Table Grid"/>
    <w:basedOn w:val="TableNormal"/>
    <w:uiPriority w:val="39"/>
    <w:rsid w:val="0088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0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8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6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F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42"/>
  </w:style>
  <w:style w:type="paragraph" w:styleId="Footer">
    <w:name w:val="footer"/>
    <w:basedOn w:val="Normal"/>
    <w:link w:val="FooterChar"/>
    <w:uiPriority w:val="99"/>
    <w:unhideWhenUsed/>
    <w:rsid w:val="00FD0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1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4910840">
              <w:marLeft w:val="21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586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3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66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43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1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56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8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87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5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1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29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6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BBC6-99B4-49F4-BC88-EAD15DDB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4</cp:revision>
  <dcterms:created xsi:type="dcterms:W3CDTF">2018-08-01T01:43:00Z</dcterms:created>
  <dcterms:modified xsi:type="dcterms:W3CDTF">2018-08-01T01:52:00Z</dcterms:modified>
</cp:coreProperties>
</file>