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752" w:type="dxa"/>
        <w:tblLook w:val="04A0" w:firstRow="1" w:lastRow="0" w:firstColumn="1" w:lastColumn="0" w:noHBand="0" w:noVBand="1"/>
      </w:tblPr>
      <w:tblGrid>
        <w:gridCol w:w="6658"/>
        <w:gridCol w:w="4094"/>
      </w:tblGrid>
      <w:tr w:rsidR="005F327E" w:rsidRPr="000A1215" w14:paraId="0B2C1ADF" w14:textId="77777777" w:rsidTr="005F327E">
        <w:trPr>
          <w:trHeight w:val="1817"/>
        </w:trPr>
        <w:tc>
          <w:tcPr>
            <w:tcW w:w="6658" w:type="dxa"/>
            <w:vAlign w:val="center"/>
          </w:tcPr>
          <w:p w14:paraId="3604CD93" w14:textId="7DA40C34" w:rsidR="0012073A" w:rsidRPr="000A1215" w:rsidRDefault="0012073A" w:rsidP="005F6E04">
            <w:pPr>
              <w:rPr>
                <w:rFonts w:ascii="Arial" w:hAnsi="Arial" w:cs="Arial"/>
                <w:lang w:val="de-DE"/>
              </w:rPr>
            </w:pPr>
            <w:r w:rsidRPr="000A1215">
              <w:rPr>
                <w:rFonts w:ascii="Arial" w:hAnsi="Arial" w:cs="Arial"/>
                <w:lang w:val="de-DE"/>
              </w:rPr>
              <w:t>Die Normen, durch wel</w:t>
            </w:r>
            <w:r w:rsidR="00D64FBD" w:rsidRPr="000A1215">
              <w:rPr>
                <w:rFonts w:ascii="Arial" w:hAnsi="Arial" w:cs="Arial"/>
                <w:lang w:val="de-DE"/>
              </w:rPr>
              <w:t xml:space="preserve">che die Mitglieder einer Gesellschaft definieren, was gut oder </w:t>
            </w:r>
            <w:r w:rsidRPr="000A1215">
              <w:rPr>
                <w:rFonts w:ascii="Arial" w:hAnsi="Arial" w:cs="Arial"/>
                <w:lang w:val="de-DE"/>
              </w:rPr>
              <w:t xml:space="preserve">schlecht, </w:t>
            </w:r>
            <w:r w:rsidR="00D64FBD" w:rsidRPr="000A1215">
              <w:rPr>
                <w:rFonts w:ascii="Arial" w:hAnsi="Arial" w:cs="Arial"/>
                <w:lang w:val="de-DE"/>
              </w:rPr>
              <w:t xml:space="preserve">gesund oder ungesund, schön oder hässlich ist. Es sind </w:t>
            </w:r>
            <w:r w:rsidR="00564E06" w:rsidRPr="000A1215">
              <w:rPr>
                <w:rFonts w:ascii="Arial" w:hAnsi="Arial" w:cs="Arial"/>
                <w:lang w:val="de-DE"/>
              </w:rPr>
              <w:t xml:space="preserve">Anschauungen, die in der Gesellschaft weitgehend vertreten werden. Sie sind </w:t>
            </w:r>
            <w:r w:rsidR="005F6E04" w:rsidRPr="000A1215">
              <w:rPr>
                <w:rFonts w:ascii="Arial" w:hAnsi="Arial" w:cs="Arial"/>
                <w:lang w:val="de-DE"/>
              </w:rPr>
              <w:t>ein zentraler Aspekt der immateriellen Kultur einer Gesellschaft und sind bedeutend, da sie das Verhalten der Mitglieder der Gesellschaft beeinflussen.</w:t>
            </w:r>
          </w:p>
        </w:tc>
        <w:tc>
          <w:tcPr>
            <w:tcW w:w="4094" w:type="dxa"/>
            <w:vAlign w:val="center"/>
          </w:tcPr>
          <w:p w14:paraId="714F52E5" w14:textId="7798E359" w:rsidR="005F327E" w:rsidRPr="000A1215" w:rsidRDefault="0084009F" w:rsidP="005F327E">
            <w:pPr>
              <w:jc w:val="center"/>
              <w:rPr>
                <w:rFonts w:ascii="Arial" w:hAnsi="Arial" w:cs="Arial"/>
                <w:sz w:val="36"/>
                <w:szCs w:val="36"/>
                <w:lang w:val="de-DE"/>
              </w:rPr>
            </w:pPr>
            <w:r w:rsidRPr="000A1215">
              <w:rPr>
                <w:rFonts w:ascii="Arial" w:hAnsi="Arial" w:cs="Arial"/>
                <w:sz w:val="36"/>
                <w:szCs w:val="36"/>
                <w:lang w:val="de-DE"/>
              </w:rPr>
              <w:t>Werte</w:t>
            </w:r>
          </w:p>
        </w:tc>
      </w:tr>
      <w:tr w:rsidR="005F327E" w:rsidRPr="000A1215" w14:paraId="3C997B27" w14:textId="77777777" w:rsidTr="005F327E">
        <w:trPr>
          <w:trHeight w:val="1817"/>
        </w:trPr>
        <w:tc>
          <w:tcPr>
            <w:tcW w:w="6658" w:type="dxa"/>
            <w:vAlign w:val="center"/>
          </w:tcPr>
          <w:p w14:paraId="360FA445" w14:textId="4E44CD95" w:rsidR="00F40B5F" w:rsidRPr="000A1215" w:rsidRDefault="00F40B5F" w:rsidP="00F40B5F">
            <w:pPr>
              <w:rPr>
                <w:rFonts w:ascii="Arial" w:hAnsi="Arial" w:cs="Arial"/>
                <w:lang w:val="de-DE"/>
              </w:rPr>
            </w:pPr>
            <w:r w:rsidRPr="000A1215">
              <w:rPr>
                <w:rFonts w:ascii="Arial" w:hAnsi="Arial" w:cs="Arial"/>
                <w:lang w:val="de-DE"/>
              </w:rPr>
              <w:t>Die Regeln einer Gesellschaft bezüglich guten und schlechten Benehmens sind ein weiterer Aspekt der immateriellen Kultur. Es sind gemeinsame Regeln oder Vorschriften, die definieren, wie sich die Menschen unter gewissen Umständen zu verhalten haben.</w:t>
            </w:r>
          </w:p>
        </w:tc>
        <w:tc>
          <w:tcPr>
            <w:tcW w:w="4094" w:type="dxa"/>
            <w:vAlign w:val="center"/>
          </w:tcPr>
          <w:p w14:paraId="111DBAF1" w14:textId="7D6031CF" w:rsidR="005F327E" w:rsidRPr="000A1215" w:rsidRDefault="0084009F" w:rsidP="005F327E">
            <w:pPr>
              <w:jc w:val="center"/>
              <w:rPr>
                <w:rFonts w:ascii="Arial" w:hAnsi="Arial" w:cs="Arial"/>
                <w:sz w:val="36"/>
                <w:szCs w:val="36"/>
                <w:lang w:val="de-DE"/>
              </w:rPr>
            </w:pPr>
            <w:r w:rsidRPr="000A1215">
              <w:rPr>
                <w:rFonts w:ascii="Arial" w:hAnsi="Arial" w:cs="Arial"/>
                <w:sz w:val="36"/>
                <w:szCs w:val="36"/>
                <w:lang w:val="de-DE"/>
              </w:rPr>
              <w:t>Normen</w:t>
            </w:r>
          </w:p>
        </w:tc>
      </w:tr>
      <w:tr w:rsidR="005F327E" w:rsidRPr="000A1215" w14:paraId="734B8406" w14:textId="77777777" w:rsidTr="005F327E">
        <w:trPr>
          <w:trHeight w:val="1970"/>
        </w:trPr>
        <w:tc>
          <w:tcPr>
            <w:tcW w:w="6658" w:type="dxa"/>
            <w:vAlign w:val="center"/>
          </w:tcPr>
          <w:p w14:paraId="67166B92" w14:textId="11BD1BC4" w:rsidR="00F40B5F" w:rsidRPr="000A1215" w:rsidRDefault="00F40B5F" w:rsidP="00C03B30">
            <w:pPr>
              <w:rPr>
                <w:rFonts w:ascii="Arial" w:hAnsi="Arial" w:cs="Arial"/>
                <w:lang w:val="de-DE"/>
              </w:rPr>
            </w:pPr>
            <w:r w:rsidRPr="000A1215">
              <w:rPr>
                <w:rFonts w:ascii="Arial" w:hAnsi="Arial" w:cs="Arial"/>
                <w:lang w:val="de-DE"/>
              </w:rPr>
              <w:t xml:space="preserve">Die Fähigkeit, </w:t>
            </w:r>
            <w:r w:rsidR="006C4D83" w:rsidRPr="000A1215">
              <w:rPr>
                <w:rFonts w:ascii="Arial" w:hAnsi="Arial" w:cs="Arial"/>
                <w:lang w:val="de-DE"/>
              </w:rPr>
              <w:t xml:space="preserve">zielgerichtete </w:t>
            </w:r>
            <w:r w:rsidR="009647CB" w:rsidRPr="000A1215">
              <w:rPr>
                <w:rFonts w:ascii="Arial" w:hAnsi="Arial" w:cs="Arial"/>
                <w:lang w:val="de-DE"/>
              </w:rPr>
              <w:t>Kenntnisse</w:t>
            </w:r>
            <w:r w:rsidR="00B90378" w:rsidRPr="000A1215">
              <w:rPr>
                <w:rFonts w:ascii="Arial" w:hAnsi="Arial" w:cs="Arial"/>
                <w:lang w:val="de-DE"/>
              </w:rPr>
              <w:t xml:space="preserve"> und </w:t>
            </w:r>
            <w:r w:rsidR="009647CB" w:rsidRPr="000A1215">
              <w:rPr>
                <w:rFonts w:ascii="Arial" w:hAnsi="Arial" w:cs="Arial"/>
                <w:lang w:val="de-DE"/>
              </w:rPr>
              <w:t>Kompete</w:t>
            </w:r>
            <w:r w:rsidR="000C27FC" w:rsidRPr="000A1215">
              <w:rPr>
                <w:rFonts w:ascii="Arial" w:hAnsi="Arial" w:cs="Arial"/>
                <w:lang w:val="de-DE"/>
              </w:rPr>
              <w:t>nzen</w:t>
            </w:r>
            <w:r w:rsidR="006C4D83" w:rsidRPr="000A1215">
              <w:rPr>
                <w:rFonts w:ascii="Arial" w:hAnsi="Arial" w:cs="Arial"/>
                <w:lang w:val="de-DE"/>
              </w:rPr>
              <w:t xml:space="preserve"> </w:t>
            </w:r>
            <w:r w:rsidR="00B90378" w:rsidRPr="000A1215">
              <w:rPr>
                <w:rFonts w:ascii="Arial" w:hAnsi="Arial" w:cs="Arial"/>
                <w:lang w:val="de-DE"/>
              </w:rPr>
              <w:t xml:space="preserve">sowie eine </w:t>
            </w:r>
            <w:r w:rsidR="000C27FC" w:rsidRPr="000A1215">
              <w:rPr>
                <w:rFonts w:ascii="Arial" w:hAnsi="Arial" w:cs="Arial"/>
                <w:lang w:val="de-DE"/>
              </w:rPr>
              <w:t>Haltun</w:t>
            </w:r>
            <w:r w:rsidR="00CE6315" w:rsidRPr="000A1215">
              <w:rPr>
                <w:rFonts w:ascii="Arial" w:hAnsi="Arial" w:cs="Arial"/>
                <w:lang w:val="de-DE"/>
              </w:rPr>
              <w:t>g</w:t>
            </w:r>
            <w:r w:rsidR="006C4D83" w:rsidRPr="000A1215">
              <w:rPr>
                <w:rFonts w:ascii="Arial" w:hAnsi="Arial" w:cs="Arial"/>
                <w:lang w:val="de-DE"/>
              </w:rPr>
              <w:t xml:space="preserve"> zu entwickeln,</w:t>
            </w:r>
            <w:r w:rsidR="009647CB" w:rsidRPr="000A1215">
              <w:rPr>
                <w:rFonts w:ascii="Arial" w:hAnsi="Arial" w:cs="Arial"/>
                <w:lang w:val="de-DE"/>
              </w:rPr>
              <w:t xml:space="preserve"> </w:t>
            </w:r>
            <w:r w:rsidR="00CE6315" w:rsidRPr="000A1215">
              <w:rPr>
                <w:rFonts w:ascii="Arial" w:hAnsi="Arial" w:cs="Arial"/>
                <w:lang w:val="de-DE"/>
              </w:rPr>
              <w:t xml:space="preserve">die zu </w:t>
            </w:r>
            <w:r w:rsidR="00FF1724" w:rsidRPr="000A1215">
              <w:rPr>
                <w:rFonts w:ascii="Arial" w:hAnsi="Arial" w:cs="Arial"/>
                <w:lang w:val="de-DE"/>
              </w:rPr>
              <w:t xml:space="preserve">einem </w:t>
            </w:r>
            <w:r w:rsidR="00C03B30" w:rsidRPr="000A1215">
              <w:rPr>
                <w:rFonts w:ascii="Arial" w:hAnsi="Arial" w:cs="Arial"/>
                <w:lang w:val="de-DE"/>
              </w:rPr>
              <w:t xml:space="preserve">angemessenen </w:t>
            </w:r>
            <w:r w:rsidR="00FF1724" w:rsidRPr="000A1215">
              <w:rPr>
                <w:rFonts w:ascii="Arial" w:hAnsi="Arial" w:cs="Arial"/>
                <w:lang w:val="de-DE"/>
              </w:rPr>
              <w:t xml:space="preserve">Verhalten und </w:t>
            </w:r>
            <w:r w:rsidR="00C03B30" w:rsidRPr="000A1215">
              <w:rPr>
                <w:rFonts w:ascii="Arial" w:hAnsi="Arial" w:cs="Arial"/>
                <w:lang w:val="de-DE"/>
              </w:rPr>
              <w:t>gleichzeitig einer</w:t>
            </w:r>
            <w:r w:rsidR="00FF1724" w:rsidRPr="000A1215">
              <w:rPr>
                <w:rFonts w:ascii="Arial" w:hAnsi="Arial" w:cs="Arial"/>
                <w:lang w:val="de-DE"/>
              </w:rPr>
              <w:t xml:space="preserve"> effizienten Kommunikation bei interkulturellen Interaktionen führen.</w:t>
            </w:r>
          </w:p>
        </w:tc>
        <w:tc>
          <w:tcPr>
            <w:tcW w:w="4094" w:type="dxa"/>
            <w:vAlign w:val="center"/>
          </w:tcPr>
          <w:p w14:paraId="6229A929" w14:textId="077FE01A" w:rsidR="005F327E" w:rsidRPr="000A1215" w:rsidRDefault="0084009F" w:rsidP="005F327E">
            <w:pPr>
              <w:jc w:val="center"/>
              <w:rPr>
                <w:rFonts w:ascii="Arial" w:hAnsi="Arial" w:cs="Arial"/>
                <w:sz w:val="36"/>
                <w:szCs w:val="36"/>
                <w:lang w:val="de-DE"/>
              </w:rPr>
            </w:pPr>
            <w:r w:rsidRPr="000A1215">
              <w:rPr>
                <w:rFonts w:ascii="Arial" w:hAnsi="Arial" w:cs="Arial"/>
                <w:sz w:val="36"/>
                <w:szCs w:val="36"/>
                <w:lang w:val="de-DE"/>
              </w:rPr>
              <w:t>Interkulturelle Kompetenz</w:t>
            </w:r>
          </w:p>
        </w:tc>
      </w:tr>
      <w:tr w:rsidR="005F327E" w:rsidRPr="000A1215" w14:paraId="0E02F58A" w14:textId="77777777" w:rsidTr="005F327E">
        <w:trPr>
          <w:trHeight w:val="1817"/>
        </w:trPr>
        <w:tc>
          <w:tcPr>
            <w:tcW w:w="6658" w:type="dxa"/>
            <w:vAlign w:val="center"/>
          </w:tcPr>
          <w:p w14:paraId="3314DD3B" w14:textId="26001FFC" w:rsidR="00C03B30" w:rsidRPr="000A1215" w:rsidRDefault="001C3EFA" w:rsidP="001C3EFA">
            <w:pPr>
              <w:rPr>
                <w:rFonts w:ascii="Arial" w:hAnsi="Arial" w:cs="Arial"/>
                <w:lang w:val="de-DE"/>
              </w:rPr>
            </w:pPr>
            <w:r w:rsidRPr="000A1215">
              <w:rPr>
                <w:rFonts w:ascii="Arial" w:hAnsi="Arial" w:cs="Arial"/>
                <w:lang w:val="de-DE"/>
              </w:rPr>
              <w:t xml:space="preserve">Die </w:t>
            </w:r>
            <w:r w:rsidR="00F2760F" w:rsidRPr="000A1215">
              <w:rPr>
                <w:rFonts w:ascii="Arial" w:hAnsi="Arial" w:cs="Arial"/>
                <w:lang w:val="de-DE"/>
              </w:rPr>
              <w:t>benötigten</w:t>
            </w:r>
            <w:r w:rsidR="00C03B30" w:rsidRPr="000A1215">
              <w:rPr>
                <w:rFonts w:ascii="Arial" w:hAnsi="Arial" w:cs="Arial"/>
                <w:lang w:val="de-DE"/>
              </w:rPr>
              <w:t xml:space="preserve"> Kompetenzen</w:t>
            </w:r>
            <w:r w:rsidRPr="000A1215">
              <w:rPr>
                <w:rFonts w:ascii="Arial" w:hAnsi="Arial" w:cs="Arial"/>
                <w:lang w:val="de-DE"/>
              </w:rPr>
              <w:t>,</w:t>
            </w:r>
            <w:r w:rsidR="00C03B30" w:rsidRPr="000A1215">
              <w:rPr>
                <w:rFonts w:ascii="Arial" w:hAnsi="Arial" w:cs="Arial"/>
                <w:lang w:val="de-DE"/>
              </w:rPr>
              <w:t xml:space="preserve"> um Informationen mit Personen anderer Kulturen und sozialen Gruppen zu teilen</w:t>
            </w:r>
            <w:r w:rsidRPr="000A1215">
              <w:rPr>
                <w:rFonts w:ascii="Arial" w:hAnsi="Arial" w:cs="Arial"/>
                <w:lang w:val="de-DE"/>
              </w:rPr>
              <w:t xml:space="preserve"> – nicht </w:t>
            </w:r>
            <w:r w:rsidR="00F2760F" w:rsidRPr="000A1215">
              <w:rPr>
                <w:rFonts w:ascii="Arial" w:hAnsi="Arial" w:cs="Arial"/>
                <w:lang w:val="de-DE"/>
              </w:rPr>
              <w:t>beschränkt</w:t>
            </w:r>
            <w:r w:rsidRPr="000A1215">
              <w:rPr>
                <w:rFonts w:ascii="Arial" w:hAnsi="Arial" w:cs="Arial"/>
                <w:lang w:val="de-DE"/>
              </w:rPr>
              <w:t xml:space="preserve"> auf verbale Kommunikation.</w:t>
            </w:r>
          </w:p>
        </w:tc>
        <w:tc>
          <w:tcPr>
            <w:tcW w:w="4094" w:type="dxa"/>
            <w:vAlign w:val="center"/>
          </w:tcPr>
          <w:p w14:paraId="4277EE6F" w14:textId="51BF50B8" w:rsidR="005F327E" w:rsidRPr="000A1215" w:rsidRDefault="0084009F" w:rsidP="005F327E">
            <w:pPr>
              <w:jc w:val="center"/>
              <w:rPr>
                <w:rFonts w:ascii="Arial" w:hAnsi="Arial" w:cs="Arial"/>
                <w:sz w:val="36"/>
                <w:szCs w:val="36"/>
                <w:lang w:val="de-DE"/>
              </w:rPr>
            </w:pPr>
            <w:r w:rsidRPr="000A1215">
              <w:rPr>
                <w:rFonts w:ascii="Arial" w:hAnsi="Arial" w:cs="Arial"/>
                <w:sz w:val="36"/>
                <w:szCs w:val="36"/>
                <w:lang w:val="de-DE"/>
              </w:rPr>
              <w:t>Interkulturelle Kommunikation</w:t>
            </w:r>
          </w:p>
        </w:tc>
      </w:tr>
      <w:tr w:rsidR="005F327E" w:rsidRPr="000A1215" w14:paraId="0E74DF8C" w14:textId="77777777" w:rsidTr="005F327E">
        <w:trPr>
          <w:trHeight w:val="1817"/>
        </w:trPr>
        <w:tc>
          <w:tcPr>
            <w:tcW w:w="6658" w:type="dxa"/>
            <w:vAlign w:val="center"/>
          </w:tcPr>
          <w:p w14:paraId="2292611D" w14:textId="65763D4B" w:rsidR="001C3EFA" w:rsidRPr="000A1215" w:rsidRDefault="001C3EFA">
            <w:pPr>
              <w:rPr>
                <w:rFonts w:ascii="Arial" w:hAnsi="Arial" w:cs="Arial"/>
                <w:lang w:val="de-DE"/>
              </w:rPr>
            </w:pPr>
            <w:r w:rsidRPr="000A1215">
              <w:rPr>
                <w:rFonts w:ascii="Arial" w:hAnsi="Arial" w:cs="Arial"/>
                <w:lang w:val="de-DE"/>
              </w:rPr>
              <w:t>Der Gesamtkomplex aus</w:t>
            </w:r>
            <w:r w:rsidR="00467DE8" w:rsidRPr="000A1215">
              <w:rPr>
                <w:rFonts w:ascii="Arial" w:hAnsi="Arial" w:cs="Arial"/>
                <w:lang w:val="de-DE"/>
              </w:rPr>
              <w:t xml:space="preserve"> Kenntnissen, </w:t>
            </w:r>
            <w:r w:rsidR="00F2760F" w:rsidRPr="000A1215">
              <w:rPr>
                <w:rFonts w:ascii="Arial" w:hAnsi="Arial" w:cs="Arial"/>
                <w:lang w:val="de-DE"/>
              </w:rPr>
              <w:t>Überzeugungen</w:t>
            </w:r>
            <w:r w:rsidR="00467DE8" w:rsidRPr="000A1215">
              <w:rPr>
                <w:rFonts w:ascii="Arial" w:hAnsi="Arial" w:cs="Arial"/>
                <w:lang w:val="de-DE"/>
              </w:rPr>
              <w:t xml:space="preserve">, </w:t>
            </w:r>
            <w:r w:rsidR="00F2760F" w:rsidRPr="000A1215">
              <w:rPr>
                <w:rFonts w:ascii="Arial" w:hAnsi="Arial" w:cs="Arial"/>
                <w:lang w:val="de-DE"/>
              </w:rPr>
              <w:t>Künsten</w:t>
            </w:r>
            <w:r w:rsidR="00467DE8" w:rsidRPr="000A1215">
              <w:rPr>
                <w:rFonts w:ascii="Arial" w:hAnsi="Arial" w:cs="Arial"/>
                <w:lang w:val="de-DE"/>
              </w:rPr>
              <w:t xml:space="preserve">, Moral, Gesetz, </w:t>
            </w:r>
            <w:r w:rsidR="00F2760F" w:rsidRPr="000A1215">
              <w:rPr>
                <w:rFonts w:ascii="Arial" w:hAnsi="Arial" w:cs="Arial"/>
                <w:lang w:val="de-DE"/>
              </w:rPr>
              <w:t>Bräuchen</w:t>
            </w:r>
            <w:r w:rsidR="00467DE8" w:rsidRPr="000A1215">
              <w:rPr>
                <w:rFonts w:ascii="Arial" w:hAnsi="Arial" w:cs="Arial"/>
                <w:lang w:val="de-DE"/>
              </w:rPr>
              <w:t xml:space="preserve"> und allen anderen </w:t>
            </w:r>
            <w:r w:rsidR="00F2760F" w:rsidRPr="000A1215">
              <w:rPr>
                <w:rFonts w:ascii="Arial" w:hAnsi="Arial" w:cs="Arial"/>
                <w:lang w:val="de-DE"/>
              </w:rPr>
              <w:t>Fähigkeiten</w:t>
            </w:r>
            <w:r w:rsidR="00467DE8" w:rsidRPr="000A1215">
              <w:rPr>
                <w:rFonts w:ascii="Arial" w:hAnsi="Arial" w:cs="Arial"/>
                <w:lang w:val="de-DE"/>
              </w:rPr>
              <w:t xml:space="preserve"> und Gewohnheiten, die ein Mensch als Mitglied einer Gesellschaft erwirbt.</w:t>
            </w:r>
          </w:p>
        </w:tc>
        <w:tc>
          <w:tcPr>
            <w:tcW w:w="4094" w:type="dxa"/>
            <w:vAlign w:val="center"/>
          </w:tcPr>
          <w:p w14:paraId="64A44EEE" w14:textId="148BE99D" w:rsidR="005F327E" w:rsidRPr="000A1215" w:rsidRDefault="0084009F" w:rsidP="005F327E">
            <w:pPr>
              <w:jc w:val="center"/>
              <w:rPr>
                <w:rFonts w:ascii="Arial" w:hAnsi="Arial" w:cs="Arial"/>
                <w:sz w:val="36"/>
                <w:szCs w:val="36"/>
                <w:lang w:val="de-DE"/>
              </w:rPr>
            </w:pPr>
            <w:r w:rsidRPr="000A1215">
              <w:rPr>
                <w:rFonts w:ascii="Arial" w:hAnsi="Arial" w:cs="Arial"/>
                <w:sz w:val="36"/>
                <w:szCs w:val="36"/>
                <w:lang w:val="de-DE"/>
              </w:rPr>
              <w:t>Kultur</w:t>
            </w:r>
          </w:p>
        </w:tc>
      </w:tr>
      <w:tr w:rsidR="005F327E" w:rsidRPr="000A1215" w14:paraId="5956954C" w14:textId="77777777" w:rsidTr="00444A01">
        <w:trPr>
          <w:trHeight w:val="2611"/>
        </w:trPr>
        <w:tc>
          <w:tcPr>
            <w:tcW w:w="6658" w:type="dxa"/>
            <w:vAlign w:val="center"/>
          </w:tcPr>
          <w:p w14:paraId="34B0C498" w14:textId="7342AE31" w:rsidR="0088620A" w:rsidRPr="000A1215" w:rsidRDefault="0088620A">
            <w:pPr>
              <w:rPr>
                <w:rFonts w:ascii="Arial" w:hAnsi="Arial" w:cs="Arial"/>
                <w:lang w:val="de-DE"/>
              </w:rPr>
            </w:pPr>
            <w:r w:rsidRPr="000A1215">
              <w:rPr>
                <w:rFonts w:ascii="Arial" w:hAnsi="Arial" w:cs="Arial"/>
                <w:lang w:val="de-DE"/>
              </w:rPr>
              <w:t xml:space="preserve">Die </w:t>
            </w:r>
            <w:r w:rsidR="00F2760F" w:rsidRPr="000A1215">
              <w:rPr>
                <w:rFonts w:ascii="Arial" w:hAnsi="Arial" w:cs="Arial"/>
                <w:lang w:val="de-DE"/>
              </w:rPr>
              <w:t>Fähigkeit</w:t>
            </w:r>
            <w:r w:rsidRPr="000A1215">
              <w:rPr>
                <w:rFonts w:ascii="Arial" w:hAnsi="Arial" w:cs="Arial"/>
                <w:lang w:val="de-DE"/>
              </w:rPr>
              <w:t xml:space="preserve"> auf kritische Weise</w:t>
            </w:r>
            <w:r w:rsidR="00130672" w:rsidRPr="000A1215">
              <w:rPr>
                <w:rFonts w:ascii="Arial" w:hAnsi="Arial" w:cs="Arial"/>
                <w:lang w:val="de-DE"/>
              </w:rPr>
              <w:t xml:space="preserve"> die Perspektiven, die Praktiken und die Produkte der eigenen oder fremder Kulturen und </w:t>
            </w:r>
            <w:r w:rsidR="00F2760F" w:rsidRPr="000A1215">
              <w:rPr>
                <w:rFonts w:ascii="Arial" w:hAnsi="Arial" w:cs="Arial"/>
                <w:lang w:val="de-DE"/>
              </w:rPr>
              <w:t>Länder</w:t>
            </w:r>
            <w:r w:rsidR="00130672" w:rsidRPr="000A1215">
              <w:rPr>
                <w:rFonts w:ascii="Arial" w:hAnsi="Arial" w:cs="Arial"/>
                <w:lang w:val="de-DE"/>
              </w:rPr>
              <w:t xml:space="preserve"> zu bewerten. Es ist ein bewusstes Verstehen der Rolle, die kulturelle Formen, Praktiken und Rahmen in der interkulturellen Kommunikation haben </w:t>
            </w:r>
            <w:r w:rsidR="00F2760F" w:rsidRPr="000A1215">
              <w:rPr>
                <w:rFonts w:ascii="Arial" w:hAnsi="Arial" w:cs="Arial"/>
                <w:lang w:val="de-DE"/>
              </w:rPr>
              <w:t>können</w:t>
            </w:r>
            <w:r w:rsidR="00130672" w:rsidRPr="000A1215">
              <w:rPr>
                <w:rFonts w:ascii="Arial" w:hAnsi="Arial" w:cs="Arial"/>
                <w:lang w:val="de-DE"/>
              </w:rPr>
              <w:t>. Diese Konzepte auf eine flexible, an den Einzelfall angepasste Weise in Echtzeitkommunikation in die Praxis umzusetzen, ist eine interkulturelle Kompetenz.</w:t>
            </w:r>
          </w:p>
        </w:tc>
        <w:tc>
          <w:tcPr>
            <w:tcW w:w="4094" w:type="dxa"/>
            <w:vAlign w:val="center"/>
          </w:tcPr>
          <w:p w14:paraId="5130CF7F" w14:textId="1D28E63A" w:rsidR="00444A01" w:rsidRPr="000A1215" w:rsidRDefault="0084009F" w:rsidP="0084009F">
            <w:pPr>
              <w:jc w:val="center"/>
              <w:rPr>
                <w:rFonts w:ascii="Arial" w:hAnsi="Arial" w:cs="Arial"/>
                <w:sz w:val="36"/>
                <w:szCs w:val="36"/>
                <w:lang w:val="de-DE"/>
              </w:rPr>
            </w:pPr>
            <w:r w:rsidRPr="000A1215">
              <w:rPr>
                <w:rFonts w:ascii="Arial" w:hAnsi="Arial" w:cs="Arial"/>
                <w:sz w:val="36"/>
                <w:szCs w:val="36"/>
                <w:lang w:val="de-DE"/>
              </w:rPr>
              <w:t>Kulturelle Sensibilisierung</w:t>
            </w:r>
          </w:p>
          <w:p w14:paraId="6BBF9C11" w14:textId="30D31F47" w:rsidR="00444A01" w:rsidRPr="000A1215" w:rsidRDefault="00444A01" w:rsidP="00444A01">
            <w:pPr>
              <w:rPr>
                <w:rFonts w:ascii="Arial" w:hAnsi="Arial" w:cs="Arial"/>
                <w:sz w:val="36"/>
                <w:szCs w:val="36"/>
                <w:lang w:val="de-DE"/>
              </w:rPr>
            </w:pPr>
          </w:p>
          <w:p w14:paraId="2E63BE3C" w14:textId="77777777" w:rsidR="005F327E" w:rsidRPr="000A1215" w:rsidRDefault="005F327E" w:rsidP="00444A01">
            <w:pPr>
              <w:rPr>
                <w:rFonts w:ascii="Arial" w:hAnsi="Arial" w:cs="Arial"/>
                <w:sz w:val="36"/>
                <w:szCs w:val="36"/>
                <w:lang w:val="de-DE"/>
              </w:rPr>
            </w:pPr>
          </w:p>
        </w:tc>
      </w:tr>
      <w:tr w:rsidR="005F327E" w:rsidRPr="000A1215" w14:paraId="50D5485C" w14:textId="77777777" w:rsidTr="005F327E">
        <w:trPr>
          <w:trHeight w:val="1817"/>
        </w:trPr>
        <w:tc>
          <w:tcPr>
            <w:tcW w:w="6658" w:type="dxa"/>
            <w:vAlign w:val="center"/>
          </w:tcPr>
          <w:p w14:paraId="69AA668A" w14:textId="16FED5CE" w:rsidR="00C31E40" w:rsidRPr="000A1215" w:rsidRDefault="001E3D30" w:rsidP="00C31E40">
            <w:pPr>
              <w:rPr>
                <w:rFonts w:ascii="Arial" w:hAnsi="Arial" w:cs="Arial"/>
                <w:lang w:val="de-DE"/>
              </w:rPr>
            </w:pPr>
            <w:r w:rsidRPr="000A1215">
              <w:rPr>
                <w:rFonts w:ascii="Arial" w:hAnsi="Arial" w:cs="Arial"/>
                <w:lang w:val="de-DE"/>
              </w:rPr>
              <w:t>Das kulturelle</w:t>
            </w:r>
            <w:r w:rsidR="009D1FC7" w:rsidRPr="000A1215">
              <w:rPr>
                <w:rFonts w:ascii="Arial" w:hAnsi="Arial" w:cs="Arial"/>
                <w:lang w:val="de-DE"/>
              </w:rPr>
              <w:t xml:space="preserve"> </w:t>
            </w:r>
            <w:r w:rsidR="00F2760F" w:rsidRPr="000A1215">
              <w:rPr>
                <w:rFonts w:ascii="Arial" w:hAnsi="Arial" w:cs="Arial"/>
                <w:lang w:val="de-DE"/>
              </w:rPr>
              <w:t>Übereinkommen</w:t>
            </w:r>
            <w:r w:rsidR="009D1FC7" w:rsidRPr="000A1215">
              <w:rPr>
                <w:rFonts w:ascii="Arial" w:hAnsi="Arial" w:cs="Arial"/>
                <w:lang w:val="de-DE"/>
              </w:rPr>
              <w:t xml:space="preserve"> zu </w:t>
            </w:r>
            <w:r w:rsidR="00C31E40" w:rsidRPr="000A1215">
              <w:rPr>
                <w:rFonts w:ascii="Arial" w:hAnsi="Arial" w:cs="Arial"/>
                <w:lang w:val="de-DE"/>
              </w:rPr>
              <w:t>richtigen und falschen Anschauungen, darunter die Beschreibungen der Natur, des Universum</w:t>
            </w:r>
            <w:r w:rsidRPr="000A1215">
              <w:rPr>
                <w:rFonts w:ascii="Arial" w:hAnsi="Arial" w:cs="Arial"/>
                <w:lang w:val="de-DE"/>
              </w:rPr>
              <w:t>s</w:t>
            </w:r>
            <w:r w:rsidR="00C31E40" w:rsidRPr="000A1215">
              <w:rPr>
                <w:rFonts w:ascii="Arial" w:hAnsi="Arial" w:cs="Arial"/>
                <w:lang w:val="de-DE"/>
              </w:rPr>
              <w:t xml:space="preserve"> und der Platz der </w:t>
            </w:r>
            <w:r w:rsidR="00F2760F" w:rsidRPr="000A1215">
              <w:rPr>
                <w:rFonts w:ascii="Arial" w:hAnsi="Arial" w:cs="Arial"/>
                <w:lang w:val="de-DE"/>
              </w:rPr>
              <w:t>Menschheit</w:t>
            </w:r>
            <w:r w:rsidR="00C31E40" w:rsidRPr="000A1215">
              <w:rPr>
                <w:rFonts w:ascii="Arial" w:hAnsi="Arial" w:cs="Arial"/>
                <w:lang w:val="de-DE"/>
              </w:rPr>
              <w:t xml:space="preserve"> in letzterem. Werte sind verallgemeinerte Begrif</w:t>
            </w:r>
            <w:r w:rsidRPr="000A1215">
              <w:rPr>
                <w:rFonts w:ascii="Arial" w:hAnsi="Arial" w:cs="Arial"/>
                <w:lang w:val="de-DE"/>
              </w:rPr>
              <w:t xml:space="preserve">fe, die </w:t>
            </w:r>
            <w:r w:rsidR="00F2760F" w:rsidRPr="000A1215">
              <w:rPr>
                <w:rFonts w:ascii="Arial" w:hAnsi="Arial" w:cs="Arial"/>
                <w:lang w:val="de-DE"/>
              </w:rPr>
              <w:t>ausdrücken</w:t>
            </w:r>
            <w:r w:rsidRPr="000A1215">
              <w:rPr>
                <w:rFonts w:ascii="Arial" w:hAnsi="Arial" w:cs="Arial"/>
                <w:lang w:val="de-DE"/>
              </w:rPr>
              <w:t xml:space="preserve"> was richtig</w:t>
            </w:r>
            <w:r w:rsidR="00F2760F" w:rsidRPr="000A1215">
              <w:rPr>
                <w:rFonts w:ascii="Arial" w:hAnsi="Arial" w:cs="Arial"/>
                <w:lang w:val="de-DE"/>
              </w:rPr>
              <w:t xml:space="preserve"> und falsch ist</w:t>
            </w:r>
            <w:r w:rsidR="00C31E40" w:rsidRPr="000A1215">
              <w:rPr>
                <w:rFonts w:ascii="Arial" w:hAnsi="Arial" w:cs="Arial"/>
                <w:lang w:val="de-DE"/>
              </w:rPr>
              <w:t xml:space="preserve">; </w:t>
            </w:r>
            <w:r w:rsidR="00F2760F" w:rsidRPr="000A1215">
              <w:rPr>
                <w:rFonts w:ascii="Arial" w:hAnsi="Arial" w:cs="Arial"/>
                <w:lang w:val="de-DE"/>
              </w:rPr>
              <w:t>Überzeugungen</w:t>
            </w:r>
            <w:r w:rsidR="00C31E40" w:rsidRPr="000A1215">
              <w:rPr>
                <w:rFonts w:ascii="Arial" w:hAnsi="Arial" w:cs="Arial"/>
                <w:lang w:val="de-DE"/>
              </w:rPr>
              <w:t xml:space="preserve"> hingegen sind spezifischer und, auf eine Weise zumindest, inhaltsreicher.</w:t>
            </w:r>
          </w:p>
        </w:tc>
        <w:tc>
          <w:tcPr>
            <w:tcW w:w="4094" w:type="dxa"/>
            <w:vAlign w:val="center"/>
          </w:tcPr>
          <w:p w14:paraId="492CA57B" w14:textId="70680C9C" w:rsidR="005F327E" w:rsidRPr="000A1215" w:rsidRDefault="0084009F" w:rsidP="00444A01">
            <w:pPr>
              <w:jc w:val="center"/>
              <w:rPr>
                <w:rFonts w:ascii="Arial" w:hAnsi="Arial" w:cs="Arial"/>
                <w:sz w:val="36"/>
                <w:szCs w:val="36"/>
                <w:lang w:val="de-DE"/>
              </w:rPr>
            </w:pPr>
            <w:r w:rsidRPr="000A1215">
              <w:rPr>
                <w:rFonts w:ascii="Arial" w:hAnsi="Arial" w:cs="Arial"/>
                <w:sz w:val="36"/>
                <w:szCs w:val="36"/>
                <w:lang w:val="de-DE"/>
              </w:rPr>
              <w:t>Überzeugungen</w:t>
            </w:r>
          </w:p>
        </w:tc>
      </w:tr>
      <w:tr w:rsidR="005F327E" w:rsidRPr="000A1215" w14:paraId="3DC0135E" w14:textId="77777777" w:rsidTr="005F327E">
        <w:trPr>
          <w:trHeight w:val="1970"/>
        </w:trPr>
        <w:tc>
          <w:tcPr>
            <w:tcW w:w="6658" w:type="dxa"/>
            <w:vAlign w:val="center"/>
          </w:tcPr>
          <w:p w14:paraId="2145C1BF" w14:textId="1D6EF2FD" w:rsidR="007576B0" w:rsidRPr="000A1215" w:rsidRDefault="009D1FC7">
            <w:pPr>
              <w:rPr>
                <w:rFonts w:ascii="Arial" w:hAnsi="Arial" w:cs="Arial"/>
                <w:lang w:val="de-DE"/>
              </w:rPr>
            </w:pPr>
            <w:r w:rsidRPr="000A1215">
              <w:rPr>
                <w:rFonts w:ascii="Arial" w:hAnsi="Arial" w:cs="Arial"/>
                <w:lang w:val="de-DE"/>
              </w:rPr>
              <w:lastRenderedPageBreak/>
              <w:t>D</w:t>
            </w:r>
            <w:r w:rsidR="005E5B32" w:rsidRPr="000A1215">
              <w:rPr>
                <w:rFonts w:ascii="Arial" w:hAnsi="Arial" w:cs="Arial"/>
                <w:lang w:val="de-DE"/>
              </w:rPr>
              <w:t>ie Bewegung von Studenten</w:t>
            </w:r>
            <w:r w:rsidRPr="000A1215">
              <w:rPr>
                <w:rFonts w:ascii="Arial" w:hAnsi="Arial" w:cs="Arial"/>
                <w:lang w:val="de-DE"/>
              </w:rPr>
              <w:t xml:space="preserve"> </w:t>
            </w:r>
            <w:r w:rsidR="00AA57B2" w:rsidRPr="000A1215">
              <w:rPr>
                <w:rFonts w:ascii="Arial" w:hAnsi="Arial" w:cs="Arial"/>
                <w:lang w:val="de-DE"/>
              </w:rPr>
              <w:t xml:space="preserve">und </w:t>
            </w:r>
            <w:r w:rsidR="00F2760F" w:rsidRPr="000A1215">
              <w:rPr>
                <w:rFonts w:ascii="Arial" w:hAnsi="Arial" w:cs="Arial"/>
                <w:lang w:val="de-DE"/>
              </w:rPr>
              <w:t>Universitätsprofessoren</w:t>
            </w:r>
            <w:r w:rsidR="00AA57B2" w:rsidRPr="000A1215">
              <w:rPr>
                <w:rFonts w:ascii="Arial" w:hAnsi="Arial" w:cs="Arial"/>
                <w:lang w:val="de-DE"/>
              </w:rPr>
              <w:t xml:space="preserve"> </w:t>
            </w:r>
            <w:r w:rsidR="003027F5" w:rsidRPr="000A1215">
              <w:rPr>
                <w:rFonts w:ascii="Arial" w:hAnsi="Arial" w:cs="Arial"/>
                <w:lang w:val="de-DE"/>
              </w:rPr>
              <w:t xml:space="preserve">hin zu einer anderen </w:t>
            </w:r>
            <w:r w:rsidR="00F2760F" w:rsidRPr="000A1215">
              <w:rPr>
                <w:rFonts w:ascii="Arial" w:hAnsi="Arial" w:cs="Arial"/>
                <w:lang w:val="de-DE"/>
              </w:rPr>
              <w:t>Institution</w:t>
            </w:r>
            <w:r w:rsidR="003027F5" w:rsidRPr="000A1215">
              <w:rPr>
                <w:rFonts w:ascii="Arial" w:hAnsi="Arial" w:cs="Arial"/>
                <w:lang w:val="de-DE"/>
              </w:rPr>
              <w:t xml:space="preserve"> in ihrem eigenen Land oder im Ausland, um dort </w:t>
            </w:r>
            <w:r w:rsidR="00F2760F" w:rsidRPr="000A1215">
              <w:rPr>
                <w:rFonts w:ascii="Arial" w:hAnsi="Arial" w:cs="Arial"/>
                <w:lang w:val="de-DE"/>
              </w:rPr>
              <w:t>für</w:t>
            </w:r>
            <w:r w:rsidR="003027F5" w:rsidRPr="000A1215">
              <w:rPr>
                <w:rFonts w:ascii="Arial" w:hAnsi="Arial" w:cs="Arial"/>
                <w:lang w:val="de-DE"/>
              </w:rPr>
              <w:t xml:space="preserve"> eine begrenzte Zeit zu studieren bzw. zu unterrichten.</w:t>
            </w:r>
          </w:p>
        </w:tc>
        <w:tc>
          <w:tcPr>
            <w:tcW w:w="4094" w:type="dxa"/>
            <w:vAlign w:val="center"/>
          </w:tcPr>
          <w:p w14:paraId="0C268B71" w14:textId="61BFCD1E" w:rsidR="005F327E" w:rsidRPr="000A1215" w:rsidRDefault="007576B0" w:rsidP="005F327E">
            <w:pPr>
              <w:jc w:val="center"/>
              <w:rPr>
                <w:rFonts w:ascii="Arial" w:hAnsi="Arial" w:cs="Arial"/>
                <w:sz w:val="36"/>
                <w:szCs w:val="36"/>
                <w:lang w:val="de-DE"/>
              </w:rPr>
            </w:pPr>
            <w:proofErr w:type="spellStart"/>
            <w:r w:rsidRPr="000A1215">
              <w:rPr>
                <w:rFonts w:ascii="Arial" w:hAnsi="Arial" w:cs="Arial"/>
                <w:sz w:val="36"/>
                <w:szCs w:val="36"/>
                <w:lang w:val="de-DE"/>
              </w:rPr>
              <w:t>Mobilitaet</w:t>
            </w:r>
            <w:proofErr w:type="spellEnd"/>
          </w:p>
        </w:tc>
      </w:tr>
    </w:tbl>
    <w:p w14:paraId="7E8EE381" w14:textId="77777777" w:rsidR="00444A01" w:rsidRPr="000A1215" w:rsidRDefault="00444A01">
      <w:pPr>
        <w:rPr>
          <w:rFonts w:ascii="Arial" w:hAnsi="Arial" w:cs="Arial"/>
          <w:b/>
          <w:lang w:val="de-DE"/>
        </w:rPr>
      </w:pPr>
    </w:p>
    <w:p w14:paraId="0CB3C229" w14:textId="523E6139" w:rsidR="00C334A3" w:rsidRPr="000A1215" w:rsidRDefault="003027F5">
      <w:pPr>
        <w:rPr>
          <w:rFonts w:ascii="Arial" w:hAnsi="Arial" w:cs="Arial"/>
          <w:b/>
          <w:lang w:val="de-DE"/>
        </w:rPr>
      </w:pPr>
      <w:proofErr w:type="spellStart"/>
      <w:r w:rsidRPr="000A1215">
        <w:rPr>
          <w:rFonts w:ascii="Arial" w:hAnsi="Arial" w:cs="Arial"/>
          <w:b/>
          <w:lang w:val="de-DE"/>
        </w:rPr>
        <w:t>Antwort</w:t>
      </w:r>
      <w:r w:rsidR="005E5B32" w:rsidRPr="000A1215">
        <w:rPr>
          <w:rFonts w:ascii="Arial" w:hAnsi="Arial" w:cs="Arial"/>
          <w:b/>
          <w:lang w:val="de-DE"/>
        </w:rPr>
        <w:t>enbogen</w:t>
      </w:r>
      <w:proofErr w:type="spellEnd"/>
      <w:r w:rsidR="005E5B32" w:rsidRPr="000A1215">
        <w:rPr>
          <w:rFonts w:ascii="Arial" w:hAnsi="Arial" w:cs="Arial"/>
          <w:b/>
          <w:lang w:val="de-DE"/>
        </w:rPr>
        <w:t xml:space="preserve"> des Trainers</w:t>
      </w:r>
    </w:p>
    <w:tbl>
      <w:tblPr>
        <w:tblStyle w:val="Grilledutableau"/>
        <w:tblW w:w="10752" w:type="dxa"/>
        <w:tblLook w:val="04A0" w:firstRow="1" w:lastRow="0" w:firstColumn="1" w:lastColumn="0" w:noHBand="0" w:noVBand="1"/>
      </w:tblPr>
      <w:tblGrid>
        <w:gridCol w:w="6658"/>
        <w:gridCol w:w="4094"/>
      </w:tblGrid>
      <w:tr w:rsidR="00444A01" w:rsidRPr="000A1215" w14:paraId="33FB848F" w14:textId="77777777" w:rsidTr="00444A01">
        <w:trPr>
          <w:trHeight w:val="2107"/>
        </w:trPr>
        <w:tc>
          <w:tcPr>
            <w:tcW w:w="6658" w:type="dxa"/>
          </w:tcPr>
          <w:p w14:paraId="62532698" w14:textId="77777777" w:rsidR="00444A01" w:rsidRPr="000A1215" w:rsidRDefault="00444A01" w:rsidP="00444A01">
            <w:pPr>
              <w:rPr>
                <w:rFonts w:ascii="Arial" w:hAnsi="Arial" w:cs="Arial"/>
                <w:lang w:val="de-DE"/>
              </w:rPr>
            </w:pPr>
          </w:p>
          <w:p w14:paraId="675B78E5" w14:textId="074697B9" w:rsidR="00444A01" w:rsidRPr="000A1215" w:rsidRDefault="003027F5" w:rsidP="00444A01">
            <w:pPr>
              <w:rPr>
                <w:rFonts w:ascii="Arial" w:hAnsi="Arial" w:cs="Arial"/>
                <w:lang w:val="de-DE"/>
              </w:rPr>
            </w:pPr>
            <w:r w:rsidRPr="000A1215">
              <w:rPr>
                <w:rFonts w:ascii="Arial" w:hAnsi="Arial" w:cs="Arial"/>
                <w:lang w:val="de-DE"/>
              </w:rPr>
              <w:t>Die Normen, durch welche die Mitglieder einer Gesellschaft definieren, was gut oder schlecht, gesund oder ungesund, schön oder hässlich ist. Es sind Anschauungen, die in der Gesellschaft weitgehend vertreten werden. Sie sind ein zentraler Aspekt der immateriellen Kultur einer Gesellschaft und sind bedeutend, da sie das Verhalten der Mitglieder der Gesellschaft beeinflussen.</w:t>
            </w:r>
          </w:p>
        </w:tc>
        <w:tc>
          <w:tcPr>
            <w:tcW w:w="4094" w:type="dxa"/>
            <w:vAlign w:val="center"/>
          </w:tcPr>
          <w:p w14:paraId="3B39D05E" w14:textId="664034D2" w:rsidR="00444A01" w:rsidRPr="000A1215" w:rsidRDefault="00444A01" w:rsidP="00444A01">
            <w:pPr>
              <w:jc w:val="center"/>
              <w:rPr>
                <w:rFonts w:ascii="Arial" w:hAnsi="Arial" w:cs="Arial"/>
                <w:sz w:val="96"/>
                <w:szCs w:val="96"/>
                <w:lang w:val="de-DE"/>
              </w:rPr>
            </w:pPr>
            <w:r w:rsidRPr="000A1215">
              <w:rPr>
                <w:rFonts w:ascii="Arial" w:hAnsi="Arial" w:cs="Arial"/>
                <w:color w:val="D9D9D9" w:themeColor="background1" w:themeShade="D9"/>
                <w:sz w:val="96"/>
                <w:szCs w:val="96"/>
                <w:lang w:val="de-DE"/>
              </w:rPr>
              <w:t>?</w:t>
            </w:r>
          </w:p>
        </w:tc>
      </w:tr>
      <w:tr w:rsidR="00444A01" w:rsidRPr="000A1215" w14:paraId="78CA7FE8" w14:textId="77777777" w:rsidTr="002F75F5">
        <w:trPr>
          <w:trHeight w:val="1817"/>
        </w:trPr>
        <w:tc>
          <w:tcPr>
            <w:tcW w:w="6658" w:type="dxa"/>
          </w:tcPr>
          <w:p w14:paraId="081D11B6" w14:textId="77777777" w:rsidR="00444A01" w:rsidRPr="000A1215" w:rsidRDefault="00444A01" w:rsidP="00444A01">
            <w:pPr>
              <w:rPr>
                <w:rFonts w:ascii="Arial" w:hAnsi="Arial" w:cs="Arial"/>
                <w:lang w:val="de-DE"/>
              </w:rPr>
            </w:pPr>
          </w:p>
          <w:p w14:paraId="531936B1" w14:textId="4E632073" w:rsidR="00444A01" w:rsidRPr="000A1215" w:rsidRDefault="003027F5" w:rsidP="00444A01">
            <w:pPr>
              <w:rPr>
                <w:rFonts w:ascii="Arial" w:hAnsi="Arial" w:cs="Arial"/>
                <w:lang w:val="de-DE"/>
              </w:rPr>
            </w:pPr>
            <w:r w:rsidRPr="000A1215">
              <w:rPr>
                <w:rFonts w:ascii="Arial" w:hAnsi="Arial" w:cs="Arial"/>
                <w:lang w:val="de-DE"/>
              </w:rPr>
              <w:t>Die Regeln einer Gesellschaft bezüglich guten und schlechten Benehmens sind ein weiterer Aspekt der immateriellen Kultur. Es sind gemeinsame Regeln oder Vorschriften, die definieren, wie sich die Menschen unter gewissen Umständen zu verhalten haben.</w:t>
            </w:r>
          </w:p>
        </w:tc>
        <w:tc>
          <w:tcPr>
            <w:tcW w:w="4094" w:type="dxa"/>
          </w:tcPr>
          <w:p w14:paraId="09540EDA" w14:textId="15D38CA4" w:rsidR="00444A01" w:rsidRPr="000A1215" w:rsidRDefault="00444A01" w:rsidP="00444A01">
            <w:pPr>
              <w:jc w:val="center"/>
              <w:rPr>
                <w:rFonts w:ascii="Arial" w:hAnsi="Arial" w:cs="Arial"/>
                <w:sz w:val="36"/>
                <w:szCs w:val="36"/>
                <w:lang w:val="de-DE"/>
              </w:rPr>
            </w:pPr>
            <w:r w:rsidRPr="000A1215">
              <w:rPr>
                <w:rFonts w:ascii="Arial" w:hAnsi="Arial" w:cs="Arial"/>
                <w:color w:val="D9D9D9" w:themeColor="background1" w:themeShade="D9"/>
                <w:sz w:val="96"/>
                <w:szCs w:val="96"/>
                <w:lang w:val="de-DE"/>
              </w:rPr>
              <w:t>?</w:t>
            </w:r>
          </w:p>
        </w:tc>
      </w:tr>
      <w:tr w:rsidR="00444A01" w:rsidRPr="000A1215" w14:paraId="05C2E161" w14:textId="77777777" w:rsidTr="002F75F5">
        <w:trPr>
          <w:trHeight w:val="1970"/>
        </w:trPr>
        <w:tc>
          <w:tcPr>
            <w:tcW w:w="6658" w:type="dxa"/>
          </w:tcPr>
          <w:p w14:paraId="5E3D1D73" w14:textId="77777777" w:rsidR="00444A01" w:rsidRPr="000A1215" w:rsidRDefault="00444A01" w:rsidP="00444A01">
            <w:pPr>
              <w:rPr>
                <w:rFonts w:ascii="Arial" w:hAnsi="Arial" w:cs="Arial"/>
                <w:lang w:val="de-DE"/>
              </w:rPr>
            </w:pPr>
          </w:p>
          <w:p w14:paraId="0B99E8C3" w14:textId="75D6E6BA" w:rsidR="00444A01" w:rsidRPr="000A1215" w:rsidRDefault="003027F5" w:rsidP="00444A01">
            <w:pPr>
              <w:rPr>
                <w:rFonts w:ascii="Arial" w:hAnsi="Arial" w:cs="Arial"/>
                <w:lang w:val="de-DE"/>
              </w:rPr>
            </w:pPr>
            <w:r w:rsidRPr="000A1215">
              <w:rPr>
                <w:rFonts w:ascii="Arial" w:hAnsi="Arial" w:cs="Arial"/>
                <w:lang w:val="de-DE"/>
              </w:rPr>
              <w:t>Die Fähigkeit, zielgerichtete Kenntnisse und Kompetenzen sowie eine Haltung zu entwickeln, die zu einem angemessenen Verhalten und gleichzeitig einer effizienten Kommunikation bei interkulturellen Interaktionen führen.</w:t>
            </w:r>
          </w:p>
        </w:tc>
        <w:tc>
          <w:tcPr>
            <w:tcW w:w="4094" w:type="dxa"/>
          </w:tcPr>
          <w:p w14:paraId="2A832F86" w14:textId="6FC72CA4" w:rsidR="00444A01" w:rsidRPr="000A1215" w:rsidRDefault="00444A01" w:rsidP="00444A01">
            <w:pPr>
              <w:jc w:val="center"/>
              <w:rPr>
                <w:rFonts w:ascii="Arial" w:hAnsi="Arial" w:cs="Arial"/>
                <w:sz w:val="36"/>
                <w:szCs w:val="36"/>
                <w:lang w:val="de-DE"/>
              </w:rPr>
            </w:pPr>
            <w:r w:rsidRPr="000A1215">
              <w:rPr>
                <w:rFonts w:ascii="Arial" w:hAnsi="Arial" w:cs="Arial"/>
                <w:color w:val="D9D9D9" w:themeColor="background1" w:themeShade="D9"/>
                <w:sz w:val="96"/>
                <w:szCs w:val="96"/>
                <w:lang w:val="de-DE"/>
              </w:rPr>
              <w:t>?</w:t>
            </w:r>
          </w:p>
        </w:tc>
      </w:tr>
      <w:tr w:rsidR="00444A01" w:rsidRPr="000A1215" w14:paraId="41E8C436" w14:textId="77777777" w:rsidTr="002F75F5">
        <w:trPr>
          <w:trHeight w:val="1817"/>
        </w:trPr>
        <w:tc>
          <w:tcPr>
            <w:tcW w:w="6658" w:type="dxa"/>
          </w:tcPr>
          <w:p w14:paraId="699FB6AB" w14:textId="77777777" w:rsidR="00444A01" w:rsidRPr="000A1215" w:rsidRDefault="00444A01" w:rsidP="00444A01">
            <w:pPr>
              <w:rPr>
                <w:rFonts w:ascii="Arial" w:hAnsi="Arial" w:cs="Arial"/>
                <w:lang w:val="de-DE"/>
              </w:rPr>
            </w:pPr>
          </w:p>
          <w:p w14:paraId="204CF479" w14:textId="0C378DA5" w:rsidR="00444A01" w:rsidRPr="000A1215" w:rsidRDefault="003027F5" w:rsidP="00444A01">
            <w:pPr>
              <w:rPr>
                <w:rFonts w:ascii="Arial" w:hAnsi="Arial" w:cs="Arial"/>
                <w:lang w:val="de-DE"/>
              </w:rPr>
            </w:pPr>
            <w:r w:rsidRPr="000A1215">
              <w:rPr>
                <w:rFonts w:ascii="Arial" w:hAnsi="Arial" w:cs="Arial"/>
                <w:lang w:val="de-DE"/>
              </w:rPr>
              <w:t xml:space="preserve">Die </w:t>
            </w:r>
            <w:r w:rsidR="00F2760F" w:rsidRPr="000A1215">
              <w:rPr>
                <w:rFonts w:ascii="Arial" w:hAnsi="Arial" w:cs="Arial"/>
                <w:lang w:val="de-DE"/>
              </w:rPr>
              <w:t>benötigten</w:t>
            </w:r>
            <w:r w:rsidRPr="000A1215">
              <w:rPr>
                <w:rFonts w:ascii="Arial" w:hAnsi="Arial" w:cs="Arial"/>
                <w:lang w:val="de-DE"/>
              </w:rPr>
              <w:t xml:space="preserve"> Kompetenzen, um Informationen mit Personen anderer Kulturen und sozialen Gruppen zu teilen – nicht </w:t>
            </w:r>
            <w:r w:rsidR="00F2760F" w:rsidRPr="000A1215">
              <w:rPr>
                <w:rFonts w:ascii="Arial" w:hAnsi="Arial" w:cs="Arial"/>
                <w:lang w:val="de-DE"/>
              </w:rPr>
              <w:t>beschränkt</w:t>
            </w:r>
            <w:r w:rsidRPr="000A1215">
              <w:rPr>
                <w:rFonts w:ascii="Arial" w:hAnsi="Arial" w:cs="Arial"/>
                <w:lang w:val="de-DE"/>
              </w:rPr>
              <w:t xml:space="preserve"> auf verbale Kommunikation</w:t>
            </w:r>
            <w:r w:rsidR="00444A01" w:rsidRPr="000A1215">
              <w:rPr>
                <w:rFonts w:ascii="Arial" w:hAnsi="Arial" w:cs="Arial"/>
                <w:lang w:val="de-DE"/>
              </w:rPr>
              <w:t>.</w:t>
            </w:r>
          </w:p>
        </w:tc>
        <w:tc>
          <w:tcPr>
            <w:tcW w:w="4094" w:type="dxa"/>
          </w:tcPr>
          <w:p w14:paraId="434B7C35" w14:textId="47089134" w:rsidR="00444A01" w:rsidRPr="000A1215" w:rsidRDefault="00444A01" w:rsidP="00444A01">
            <w:pPr>
              <w:jc w:val="center"/>
              <w:rPr>
                <w:rFonts w:ascii="Arial" w:hAnsi="Arial" w:cs="Arial"/>
                <w:sz w:val="36"/>
                <w:szCs w:val="36"/>
                <w:lang w:val="de-DE"/>
              </w:rPr>
            </w:pPr>
            <w:r w:rsidRPr="000A1215">
              <w:rPr>
                <w:rFonts w:ascii="Arial" w:hAnsi="Arial" w:cs="Arial"/>
                <w:color w:val="D9D9D9" w:themeColor="background1" w:themeShade="D9"/>
                <w:sz w:val="96"/>
                <w:szCs w:val="96"/>
                <w:lang w:val="de-DE"/>
              </w:rPr>
              <w:t>?</w:t>
            </w:r>
          </w:p>
        </w:tc>
      </w:tr>
      <w:tr w:rsidR="00444A01" w:rsidRPr="000A1215" w14:paraId="316D3BF9" w14:textId="77777777" w:rsidTr="002F75F5">
        <w:trPr>
          <w:trHeight w:val="1817"/>
        </w:trPr>
        <w:tc>
          <w:tcPr>
            <w:tcW w:w="6658" w:type="dxa"/>
          </w:tcPr>
          <w:p w14:paraId="2F2F9B8F" w14:textId="77777777" w:rsidR="00444A01" w:rsidRPr="000A1215" w:rsidRDefault="00444A01" w:rsidP="00444A01">
            <w:pPr>
              <w:rPr>
                <w:rFonts w:ascii="Arial" w:hAnsi="Arial" w:cs="Arial"/>
                <w:lang w:val="de-DE"/>
              </w:rPr>
            </w:pPr>
          </w:p>
          <w:p w14:paraId="19BC25FC" w14:textId="2C9FC2A9" w:rsidR="00444A01" w:rsidRPr="000A1215" w:rsidRDefault="003027F5" w:rsidP="00444A01">
            <w:pPr>
              <w:rPr>
                <w:rFonts w:ascii="Arial" w:hAnsi="Arial" w:cs="Arial"/>
                <w:lang w:val="de-DE"/>
              </w:rPr>
            </w:pPr>
            <w:r w:rsidRPr="000A1215">
              <w:rPr>
                <w:rFonts w:ascii="Arial" w:hAnsi="Arial" w:cs="Arial"/>
                <w:lang w:val="de-DE"/>
              </w:rPr>
              <w:t xml:space="preserve">Der Gesamtkomplex aus Kenntnissen, </w:t>
            </w:r>
            <w:r w:rsidR="00E32BB5" w:rsidRPr="000A1215">
              <w:rPr>
                <w:rFonts w:ascii="Arial" w:hAnsi="Arial" w:cs="Arial"/>
                <w:lang w:val="de-DE"/>
              </w:rPr>
              <w:t>Überzeugungen</w:t>
            </w:r>
            <w:r w:rsidRPr="000A1215">
              <w:rPr>
                <w:rFonts w:ascii="Arial" w:hAnsi="Arial" w:cs="Arial"/>
                <w:lang w:val="de-DE"/>
              </w:rPr>
              <w:t xml:space="preserve">, </w:t>
            </w:r>
            <w:r w:rsidR="00E32BB5" w:rsidRPr="000A1215">
              <w:rPr>
                <w:rFonts w:ascii="Arial" w:hAnsi="Arial" w:cs="Arial"/>
                <w:lang w:val="de-DE"/>
              </w:rPr>
              <w:t>Künsten</w:t>
            </w:r>
            <w:r w:rsidRPr="000A1215">
              <w:rPr>
                <w:rFonts w:ascii="Arial" w:hAnsi="Arial" w:cs="Arial"/>
                <w:lang w:val="de-DE"/>
              </w:rPr>
              <w:t xml:space="preserve">, Moral, Gesetz, </w:t>
            </w:r>
            <w:r w:rsidR="00F2760F" w:rsidRPr="000A1215">
              <w:rPr>
                <w:rFonts w:ascii="Arial" w:hAnsi="Arial" w:cs="Arial"/>
                <w:lang w:val="de-DE"/>
              </w:rPr>
              <w:t>Bräuchen</w:t>
            </w:r>
            <w:r w:rsidRPr="000A1215">
              <w:rPr>
                <w:rFonts w:ascii="Arial" w:hAnsi="Arial" w:cs="Arial"/>
                <w:lang w:val="de-DE"/>
              </w:rPr>
              <w:t xml:space="preserve"> und allen anderen </w:t>
            </w:r>
            <w:r w:rsidR="00F2760F" w:rsidRPr="000A1215">
              <w:rPr>
                <w:rFonts w:ascii="Arial" w:hAnsi="Arial" w:cs="Arial"/>
                <w:lang w:val="de-DE"/>
              </w:rPr>
              <w:t>Fähigkeiten</w:t>
            </w:r>
            <w:r w:rsidRPr="000A1215">
              <w:rPr>
                <w:rFonts w:ascii="Arial" w:hAnsi="Arial" w:cs="Arial"/>
                <w:lang w:val="de-DE"/>
              </w:rPr>
              <w:t xml:space="preserve"> und Gewohnheiten, die ein Mensch als Mitglied einer Gesellschaft erwirbt.</w:t>
            </w:r>
          </w:p>
        </w:tc>
        <w:tc>
          <w:tcPr>
            <w:tcW w:w="4094" w:type="dxa"/>
          </w:tcPr>
          <w:p w14:paraId="6209EA45" w14:textId="2EB75B06" w:rsidR="00444A01" w:rsidRPr="000A1215" w:rsidRDefault="00444A01" w:rsidP="00444A01">
            <w:pPr>
              <w:jc w:val="center"/>
              <w:rPr>
                <w:rFonts w:ascii="Arial" w:hAnsi="Arial" w:cs="Arial"/>
                <w:sz w:val="36"/>
                <w:szCs w:val="36"/>
                <w:lang w:val="de-DE"/>
              </w:rPr>
            </w:pPr>
            <w:r w:rsidRPr="000A1215">
              <w:rPr>
                <w:rFonts w:ascii="Arial" w:hAnsi="Arial" w:cs="Arial"/>
                <w:color w:val="D9D9D9" w:themeColor="background1" w:themeShade="D9"/>
                <w:sz w:val="96"/>
                <w:szCs w:val="96"/>
                <w:lang w:val="de-DE"/>
              </w:rPr>
              <w:t>?</w:t>
            </w:r>
          </w:p>
        </w:tc>
      </w:tr>
      <w:tr w:rsidR="00444A01" w:rsidRPr="000A1215" w14:paraId="015E62AC" w14:textId="77777777" w:rsidTr="002F75F5">
        <w:trPr>
          <w:trHeight w:val="1817"/>
        </w:trPr>
        <w:tc>
          <w:tcPr>
            <w:tcW w:w="6658" w:type="dxa"/>
          </w:tcPr>
          <w:p w14:paraId="506F83D5" w14:textId="77777777" w:rsidR="00444A01" w:rsidRPr="000A1215" w:rsidRDefault="00444A01" w:rsidP="00444A01">
            <w:pPr>
              <w:rPr>
                <w:rFonts w:ascii="Arial" w:hAnsi="Arial" w:cs="Arial"/>
                <w:lang w:val="de-DE"/>
              </w:rPr>
            </w:pPr>
          </w:p>
          <w:p w14:paraId="46A2904E" w14:textId="6B091BA4" w:rsidR="00444A01" w:rsidRPr="000A1215" w:rsidRDefault="00F2760F" w:rsidP="00444A01">
            <w:pPr>
              <w:rPr>
                <w:rFonts w:ascii="Arial" w:hAnsi="Arial" w:cs="Arial"/>
                <w:lang w:val="de-DE"/>
              </w:rPr>
            </w:pPr>
            <w:r w:rsidRPr="000A1215">
              <w:rPr>
                <w:rFonts w:ascii="Arial" w:hAnsi="Arial" w:cs="Arial"/>
                <w:lang w:val="de-DE"/>
              </w:rPr>
              <w:t>Die Fähigkeit auf kritische Weise die Perspektiven, die Praktiken und die Produkte der eigenen oder fremder Kulturen und Länder zu bewerten. Es ist ein bewusstes Verstehen der Rolle, die kulturelle Formen, Praktiken und Rahmen in der interkulturellen Kommunikation haben können. Diese Konzepte auf eine flexible, an den Einzelfall angepasste Weise in Echtzeitkommunikation in die Praxis umzusetzen, ist eine interkulturelle Kompetenz.</w:t>
            </w:r>
          </w:p>
        </w:tc>
        <w:tc>
          <w:tcPr>
            <w:tcW w:w="4094" w:type="dxa"/>
          </w:tcPr>
          <w:p w14:paraId="6586D9CC" w14:textId="4B2BB492" w:rsidR="00444A01" w:rsidRPr="000A1215" w:rsidRDefault="00444A01" w:rsidP="00444A01">
            <w:pPr>
              <w:jc w:val="center"/>
              <w:rPr>
                <w:rFonts w:ascii="Arial" w:hAnsi="Arial" w:cs="Arial"/>
                <w:sz w:val="36"/>
                <w:szCs w:val="36"/>
                <w:lang w:val="de-DE"/>
              </w:rPr>
            </w:pPr>
            <w:r w:rsidRPr="000A1215">
              <w:rPr>
                <w:rFonts w:ascii="Arial" w:hAnsi="Arial" w:cs="Arial"/>
                <w:color w:val="D9D9D9" w:themeColor="background1" w:themeShade="D9"/>
                <w:sz w:val="96"/>
                <w:szCs w:val="96"/>
                <w:lang w:val="de-DE"/>
              </w:rPr>
              <w:t>?</w:t>
            </w:r>
          </w:p>
        </w:tc>
      </w:tr>
      <w:tr w:rsidR="00444A01" w:rsidRPr="000A1215" w14:paraId="38305F18" w14:textId="77777777" w:rsidTr="00444A01">
        <w:trPr>
          <w:trHeight w:val="2124"/>
        </w:trPr>
        <w:tc>
          <w:tcPr>
            <w:tcW w:w="6658" w:type="dxa"/>
          </w:tcPr>
          <w:p w14:paraId="6E9C849F" w14:textId="77777777" w:rsidR="00444A01" w:rsidRPr="000A1215" w:rsidRDefault="00444A01" w:rsidP="00444A01">
            <w:pPr>
              <w:rPr>
                <w:rFonts w:ascii="Arial" w:hAnsi="Arial" w:cs="Arial"/>
                <w:lang w:val="de-DE"/>
              </w:rPr>
            </w:pPr>
          </w:p>
          <w:p w14:paraId="1CFC01C1" w14:textId="5E56C918" w:rsidR="00444A01" w:rsidRPr="000A1215" w:rsidRDefault="003027F5" w:rsidP="00444A01">
            <w:pPr>
              <w:rPr>
                <w:rFonts w:ascii="Arial" w:hAnsi="Arial" w:cs="Arial"/>
                <w:lang w:val="de-DE"/>
              </w:rPr>
            </w:pPr>
            <w:r w:rsidRPr="000A1215">
              <w:rPr>
                <w:rFonts w:ascii="Arial" w:hAnsi="Arial" w:cs="Arial"/>
                <w:lang w:val="de-DE"/>
              </w:rPr>
              <w:t xml:space="preserve">Das kulturelle </w:t>
            </w:r>
            <w:r w:rsidR="00F2760F" w:rsidRPr="000A1215">
              <w:rPr>
                <w:rFonts w:ascii="Arial" w:hAnsi="Arial" w:cs="Arial"/>
                <w:lang w:val="de-DE"/>
              </w:rPr>
              <w:t>Übereinkommen</w:t>
            </w:r>
            <w:r w:rsidRPr="000A1215">
              <w:rPr>
                <w:rFonts w:ascii="Arial" w:hAnsi="Arial" w:cs="Arial"/>
                <w:lang w:val="de-DE"/>
              </w:rPr>
              <w:t xml:space="preserve"> zu richtigen und falschen Anschauungen, darunter die Beschreibungen der Natur, des Universums und der Platz der </w:t>
            </w:r>
            <w:r w:rsidR="00F2760F" w:rsidRPr="000A1215">
              <w:rPr>
                <w:rFonts w:ascii="Arial" w:hAnsi="Arial" w:cs="Arial"/>
                <w:lang w:val="de-DE"/>
              </w:rPr>
              <w:t>Menschheit</w:t>
            </w:r>
            <w:r w:rsidRPr="000A1215">
              <w:rPr>
                <w:rFonts w:ascii="Arial" w:hAnsi="Arial" w:cs="Arial"/>
                <w:lang w:val="de-DE"/>
              </w:rPr>
              <w:t xml:space="preserve"> in letzterem. Werte sind verallgemeinerte Begriffe, die </w:t>
            </w:r>
            <w:r w:rsidR="00F2760F" w:rsidRPr="000A1215">
              <w:rPr>
                <w:rFonts w:ascii="Arial" w:hAnsi="Arial" w:cs="Arial"/>
                <w:lang w:val="de-DE"/>
              </w:rPr>
              <w:t>ausdrücken</w:t>
            </w:r>
            <w:r w:rsidRPr="000A1215">
              <w:rPr>
                <w:rFonts w:ascii="Arial" w:hAnsi="Arial" w:cs="Arial"/>
                <w:lang w:val="de-DE"/>
              </w:rPr>
              <w:t xml:space="preserve"> was richtig und</w:t>
            </w:r>
            <w:r w:rsidR="00F2760F" w:rsidRPr="000A1215">
              <w:rPr>
                <w:rFonts w:ascii="Arial" w:hAnsi="Arial" w:cs="Arial"/>
                <w:lang w:val="de-DE"/>
              </w:rPr>
              <w:t xml:space="preserve"> falsch ist</w:t>
            </w:r>
            <w:r w:rsidRPr="000A1215">
              <w:rPr>
                <w:rFonts w:ascii="Arial" w:hAnsi="Arial" w:cs="Arial"/>
                <w:lang w:val="de-DE"/>
              </w:rPr>
              <w:t xml:space="preserve">; </w:t>
            </w:r>
            <w:r w:rsidR="00F2760F" w:rsidRPr="000A1215">
              <w:rPr>
                <w:rFonts w:ascii="Arial" w:hAnsi="Arial" w:cs="Arial"/>
                <w:lang w:val="de-DE"/>
              </w:rPr>
              <w:t>Überzeugungen</w:t>
            </w:r>
            <w:r w:rsidRPr="000A1215">
              <w:rPr>
                <w:rFonts w:ascii="Arial" w:hAnsi="Arial" w:cs="Arial"/>
                <w:lang w:val="de-DE"/>
              </w:rPr>
              <w:t xml:space="preserve"> hingegen sind spezifischer und, auf eine Weise zumindest, inhaltsreicher.</w:t>
            </w:r>
          </w:p>
        </w:tc>
        <w:tc>
          <w:tcPr>
            <w:tcW w:w="4094" w:type="dxa"/>
          </w:tcPr>
          <w:p w14:paraId="0ADC1578" w14:textId="66BB1223" w:rsidR="00444A01" w:rsidRPr="000A1215" w:rsidRDefault="00444A01" w:rsidP="00444A01">
            <w:pPr>
              <w:jc w:val="center"/>
              <w:rPr>
                <w:rFonts w:ascii="Arial" w:hAnsi="Arial" w:cs="Arial"/>
                <w:sz w:val="36"/>
                <w:szCs w:val="36"/>
                <w:lang w:val="de-DE"/>
              </w:rPr>
            </w:pPr>
            <w:r w:rsidRPr="000A1215">
              <w:rPr>
                <w:rFonts w:ascii="Arial" w:hAnsi="Arial" w:cs="Arial"/>
                <w:color w:val="D9D9D9" w:themeColor="background1" w:themeShade="D9"/>
                <w:sz w:val="96"/>
                <w:szCs w:val="96"/>
                <w:lang w:val="de-DE"/>
              </w:rPr>
              <w:t>?</w:t>
            </w:r>
          </w:p>
        </w:tc>
      </w:tr>
      <w:tr w:rsidR="00444A01" w:rsidRPr="000A1215" w14:paraId="59C91C8A" w14:textId="77777777" w:rsidTr="00FF6C5F">
        <w:trPr>
          <w:trHeight w:val="1970"/>
        </w:trPr>
        <w:tc>
          <w:tcPr>
            <w:tcW w:w="6658" w:type="dxa"/>
          </w:tcPr>
          <w:p w14:paraId="7DE24A38" w14:textId="77777777" w:rsidR="00444A01" w:rsidRPr="000A1215" w:rsidRDefault="00444A01" w:rsidP="00444A01">
            <w:pPr>
              <w:rPr>
                <w:rFonts w:ascii="Arial" w:hAnsi="Arial" w:cs="Arial"/>
                <w:lang w:val="de-DE"/>
              </w:rPr>
            </w:pPr>
          </w:p>
          <w:p w14:paraId="32BCEA48" w14:textId="4A8FE863" w:rsidR="005E5B32" w:rsidRPr="000A1215" w:rsidRDefault="005E5B32" w:rsidP="00444A01">
            <w:pPr>
              <w:rPr>
                <w:rFonts w:ascii="Arial" w:hAnsi="Arial" w:cs="Arial"/>
                <w:lang w:val="de-DE"/>
              </w:rPr>
            </w:pPr>
            <w:r w:rsidRPr="000A1215">
              <w:rPr>
                <w:rFonts w:ascii="Arial" w:hAnsi="Arial" w:cs="Arial"/>
                <w:lang w:val="de-DE"/>
              </w:rPr>
              <w:t xml:space="preserve">Die Bewegung von Studenten und </w:t>
            </w:r>
            <w:r w:rsidR="00F2760F" w:rsidRPr="000A1215">
              <w:rPr>
                <w:rFonts w:ascii="Arial" w:hAnsi="Arial" w:cs="Arial"/>
                <w:lang w:val="de-DE"/>
              </w:rPr>
              <w:t>Universitätsprofessoren</w:t>
            </w:r>
            <w:r w:rsidRPr="000A1215">
              <w:rPr>
                <w:rFonts w:ascii="Arial" w:hAnsi="Arial" w:cs="Arial"/>
                <w:lang w:val="de-DE"/>
              </w:rPr>
              <w:t xml:space="preserve"> hin zu einer anderen </w:t>
            </w:r>
            <w:r w:rsidR="00F2760F" w:rsidRPr="000A1215">
              <w:rPr>
                <w:rFonts w:ascii="Arial" w:hAnsi="Arial" w:cs="Arial"/>
                <w:lang w:val="de-DE"/>
              </w:rPr>
              <w:t>Institution</w:t>
            </w:r>
            <w:r w:rsidRPr="000A1215">
              <w:rPr>
                <w:rFonts w:ascii="Arial" w:hAnsi="Arial" w:cs="Arial"/>
                <w:lang w:val="de-DE"/>
              </w:rPr>
              <w:t xml:space="preserve"> in ihrem eigenen Land oder im Ausland, um dort </w:t>
            </w:r>
            <w:r w:rsidR="00F2760F" w:rsidRPr="000A1215">
              <w:rPr>
                <w:rFonts w:ascii="Arial" w:hAnsi="Arial" w:cs="Arial"/>
                <w:lang w:val="de-DE"/>
              </w:rPr>
              <w:t>für</w:t>
            </w:r>
            <w:r w:rsidRPr="000A1215">
              <w:rPr>
                <w:rFonts w:ascii="Arial" w:hAnsi="Arial" w:cs="Arial"/>
                <w:lang w:val="de-DE"/>
              </w:rPr>
              <w:t xml:space="preserve"> eine begrenzte Zeit zu studieren bzw. zu unterrichten.</w:t>
            </w:r>
          </w:p>
        </w:tc>
        <w:tc>
          <w:tcPr>
            <w:tcW w:w="4094" w:type="dxa"/>
          </w:tcPr>
          <w:p w14:paraId="1474A420" w14:textId="31B3C566" w:rsidR="00444A01" w:rsidRPr="000A1215" w:rsidRDefault="00444A01" w:rsidP="00444A01">
            <w:pPr>
              <w:jc w:val="center"/>
              <w:rPr>
                <w:rFonts w:ascii="Arial" w:hAnsi="Arial" w:cs="Arial"/>
                <w:sz w:val="36"/>
                <w:szCs w:val="36"/>
                <w:lang w:val="de-DE"/>
              </w:rPr>
            </w:pPr>
            <w:r w:rsidRPr="000A1215">
              <w:rPr>
                <w:rFonts w:ascii="Arial" w:hAnsi="Arial" w:cs="Arial"/>
                <w:color w:val="D9D9D9" w:themeColor="background1" w:themeShade="D9"/>
                <w:sz w:val="96"/>
                <w:szCs w:val="96"/>
                <w:lang w:val="de-DE"/>
              </w:rPr>
              <w:t>?</w:t>
            </w:r>
          </w:p>
        </w:tc>
      </w:tr>
    </w:tbl>
    <w:p w14:paraId="6D46468B" w14:textId="77777777" w:rsidR="00444A01" w:rsidRPr="000A1215" w:rsidRDefault="00444A01">
      <w:pPr>
        <w:rPr>
          <w:rFonts w:ascii="Arial" w:hAnsi="Arial" w:cs="Arial"/>
          <w:b/>
          <w:lang w:val="de-DE"/>
        </w:rPr>
      </w:pPr>
      <w:bookmarkStart w:id="0" w:name="_GoBack"/>
      <w:bookmarkEnd w:id="0"/>
    </w:p>
    <w:p w14:paraId="7670FC2A" w14:textId="7C80DF22" w:rsidR="007D79D8" w:rsidRPr="000A1215" w:rsidRDefault="005E5B32" w:rsidP="00444A01">
      <w:pPr>
        <w:rPr>
          <w:rFonts w:ascii="Arial" w:hAnsi="Arial" w:cs="Arial"/>
          <w:b/>
          <w:lang w:val="de-DE"/>
        </w:rPr>
      </w:pPr>
      <w:r w:rsidRPr="000A1215">
        <w:rPr>
          <w:rFonts w:ascii="Arial" w:hAnsi="Arial" w:cs="Arial"/>
          <w:b/>
          <w:lang w:val="de-DE"/>
        </w:rPr>
        <w:t>Bogen des Teilnehmers</w:t>
      </w:r>
    </w:p>
    <w:sectPr w:rsidR="007D79D8" w:rsidRPr="000A1215" w:rsidSect="005F32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7E"/>
    <w:rsid w:val="00095AE6"/>
    <w:rsid w:val="000A1215"/>
    <w:rsid w:val="000C27FC"/>
    <w:rsid w:val="0012073A"/>
    <w:rsid w:val="00130672"/>
    <w:rsid w:val="001C3EFA"/>
    <w:rsid w:val="001E3D30"/>
    <w:rsid w:val="002C2878"/>
    <w:rsid w:val="003027F5"/>
    <w:rsid w:val="00384BDB"/>
    <w:rsid w:val="00444A01"/>
    <w:rsid w:val="00467DE8"/>
    <w:rsid w:val="00564E06"/>
    <w:rsid w:val="00567D6F"/>
    <w:rsid w:val="005E5B32"/>
    <w:rsid w:val="005F327E"/>
    <w:rsid w:val="005F6E04"/>
    <w:rsid w:val="006C4D83"/>
    <w:rsid w:val="00724928"/>
    <w:rsid w:val="00745076"/>
    <w:rsid w:val="007576B0"/>
    <w:rsid w:val="007D79D8"/>
    <w:rsid w:val="0084009F"/>
    <w:rsid w:val="0088620A"/>
    <w:rsid w:val="009647CB"/>
    <w:rsid w:val="009D1FC7"/>
    <w:rsid w:val="00AA57B2"/>
    <w:rsid w:val="00B37572"/>
    <w:rsid w:val="00B90378"/>
    <w:rsid w:val="00BC0885"/>
    <w:rsid w:val="00C03B30"/>
    <w:rsid w:val="00C058E7"/>
    <w:rsid w:val="00C31E40"/>
    <w:rsid w:val="00C334A3"/>
    <w:rsid w:val="00CE6315"/>
    <w:rsid w:val="00D64FBD"/>
    <w:rsid w:val="00E2790F"/>
    <w:rsid w:val="00E32BB5"/>
    <w:rsid w:val="00E43103"/>
    <w:rsid w:val="00F2760F"/>
    <w:rsid w:val="00F40B5F"/>
    <w:rsid w:val="00F6596C"/>
    <w:rsid w:val="00FF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E85C"/>
  <w15:docId w15:val="{99BA4AF5-35AC-43B8-A2F6-BC6AD07D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F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0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ABD7-D26F-4D3C-890D-7B4B9272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695</Words>
  <Characters>3826</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Louise Pfleger</cp:lastModifiedBy>
  <cp:revision>24</cp:revision>
  <dcterms:created xsi:type="dcterms:W3CDTF">2018-04-03T09:06:00Z</dcterms:created>
  <dcterms:modified xsi:type="dcterms:W3CDTF">2018-07-20T10:36:00Z</dcterms:modified>
</cp:coreProperties>
</file>