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87EB8B" w14:textId="4B4D7C3B" w:rsidR="00B22114" w:rsidRPr="004F6114" w:rsidRDefault="004F6114">
      <w:pPr>
        <w:rPr>
          <w:b/>
          <w:sz w:val="28"/>
        </w:rPr>
      </w:pPr>
      <w:r w:rsidRPr="004F6114">
        <w:rPr>
          <w:b/>
          <w:sz w:val="28"/>
        </w:rPr>
        <w:t xml:space="preserve">ASDAN </w:t>
      </w:r>
      <w:r w:rsidR="004A5C7C">
        <w:rPr>
          <w:b/>
          <w:sz w:val="28"/>
        </w:rPr>
        <w:t xml:space="preserve">discussion </w:t>
      </w:r>
      <w:r w:rsidRPr="004F6114">
        <w:rPr>
          <w:b/>
          <w:sz w:val="28"/>
        </w:rPr>
        <w:t>capture grid</w:t>
      </w:r>
    </w:p>
    <w:p w14:paraId="03C0BABB" w14:textId="2A3F577E" w:rsidR="004F6114" w:rsidRDefault="004F6114"/>
    <w:p w14:paraId="5B0C3F89" w14:textId="096D429E" w:rsidR="004F6114" w:rsidRDefault="004F6114">
      <w:r>
        <w:t>Identify the elements specified in the presentation and then with colleagues from your organisation, make notes about the following</w:t>
      </w:r>
    </w:p>
    <w:p w14:paraId="5EF3ACF7" w14:textId="453F59DF" w:rsidR="004F6114" w:rsidRDefault="004F6114"/>
    <w:tbl>
      <w:tblPr>
        <w:tblStyle w:val="TableGrid"/>
        <w:tblW w:w="0" w:type="auto"/>
        <w:tblLook w:val="04A0" w:firstRow="1" w:lastRow="0" w:firstColumn="1" w:lastColumn="0" w:noHBand="0" w:noVBand="1"/>
      </w:tblPr>
      <w:tblGrid>
        <w:gridCol w:w="2259"/>
        <w:gridCol w:w="8147"/>
      </w:tblGrid>
      <w:tr w:rsidR="004F6114" w14:paraId="6B8B63ED" w14:textId="3D90BF9F" w:rsidTr="00920AEB">
        <w:tc>
          <w:tcPr>
            <w:tcW w:w="2263" w:type="dxa"/>
            <w:vMerge w:val="restart"/>
            <w:tcBorders>
              <w:top w:val="single" w:sz="24" w:space="0" w:color="auto"/>
              <w:left w:val="single" w:sz="24" w:space="0" w:color="auto"/>
            </w:tcBorders>
          </w:tcPr>
          <w:p w14:paraId="02EE9CB8" w14:textId="16FEFEAF" w:rsidR="004F6114" w:rsidRDefault="004F6114"/>
          <w:p w14:paraId="3FDBBA6B" w14:textId="3FA14A9D" w:rsidR="004F6114" w:rsidRDefault="004F6114">
            <w:r w:rsidRPr="004F6114">
              <w:t>How does this assessment process relate to the way in which informal learning is assessed by your organisation?</w:t>
            </w:r>
          </w:p>
        </w:tc>
        <w:tc>
          <w:tcPr>
            <w:tcW w:w="8193" w:type="dxa"/>
            <w:tcBorders>
              <w:top w:val="single" w:sz="24" w:space="0" w:color="auto"/>
              <w:right w:val="single" w:sz="24" w:space="0" w:color="auto"/>
            </w:tcBorders>
          </w:tcPr>
          <w:p w14:paraId="7BC75E2E" w14:textId="77777777" w:rsidR="004F6114" w:rsidRDefault="004F6114" w:rsidP="004F6114">
            <w:r>
              <w:t xml:space="preserve">How does my </w:t>
            </w:r>
            <w:bookmarkStart w:id="0" w:name="_GoBack"/>
            <w:bookmarkEnd w:id="0"/>
            <w:r>
              <w:t>organisation currently assess informal learning?</w:t>
            </w:r>
          </w:p>
          <w:p w14:paraId="7525E34D" w14:textId="77777777" w:rsidR="004F6114" w:rsidRDefault="004F6114"/>
          <w:p w14:paraId="6585877A" w14:textId="77777777" w:rsidR="004F6114" w:rsidRDefault="004F6114"/>
          <w:p w14:paraId="4D699E1F" w14:textId="77777777" w:rsidR="004F6114" w:rsidRDefault="004F6114"/>
          <w:p w14:paraId="75140270" w14:textId="7EFD105C" w:rsidR="004F6114" w:rsidRDefault="004F6114"/>
        </w:tc>
      </w:tr>
      <w:tr w:rsidR="004F6114" w14:paraId="5FAAE669" w14:textId="1BAE6E10" w:rsidTr="00920AEB">
        <w:tc>
          <w:tcPr>
            <w:tcW w:w="2263" w:type="dxa"/>
            <w:vMerge/>
            <w:tcBorders>
              <w:left w:val="single" w:sz="24" w:space="0" w:color="auto"/>
            </w:tcBorders>
          </w:tcPr>
          <w:p w14:paraId="5D8558C2" w14:textId="1B1D3A62" w:rsidR="004F6114" w:rsidRDefault="004F6114"/>
        </w:tc>
        <w:tc>
          <w:tcPr>
            <w:tcW w:w="8193" w:type="dxa"/>
            <w:tcBorders>
              <w:right w:val="single" w:sz="24" w:space="0" w:color="auto"/>
            </w:tcBorders>
          </w:tcPr>
          <w:p w14:paraId="2B0CFCD0" w14:textId="77777777" w:rsidR="004F6114" w:rsidRDefault="004F6114">
            <w:r>
              <w:t>How is it similar or different to the process exemplified by the ASDAN portfolio we have considered?</w:t>
            </w:r>
          </w:p>
          <w:p w14:paraId="6558E4AA" w14:textId="77777777" w:rsidR="004F6114" w:rsidRDefault="004F6114"/>
          <w:p w14:paraId="7958550B" w14:textId="77777777" w:rsidR="004F6114" w:rsidRDefault="004F6114"/>
          <w:p w14:paraId="32F14033" w14:textId="77777777" w:rsidR="004F6114" w:rsidRDefault="004F6114"/>
          <w:p w14:paraId="0DC11A88" w14:textId="1FA909FF" w:rsidR="004F6114" w:rsidRDefault="004F6114"/>
        </w:tc>
      </w:tr>
      <w:tr w:rsidR="004F6114" w14:paraId="1AB4326A" w14:textId="44238828" w:rsidTr="00920AEB">
        <w:tc>
          <w:tcPr>
            <w:tcW w:w="2263" w:type="dxa"/>
            <w:vMerge/>
            <w:tcBorders>
              <w:left w:val="single" w:sz="24" w:space="0" w:color="auto"/>
              <w:bottom w:val="single" w:sz="24" w:space="0" w:color="auto"/>
            </w:tcBorders>
          </w:tcPr>
          <w:p w14:paraId="3A56457A" w14:textId="02148756" w:rsidR="004F6114" w:rsidRDefault="004F6114"/>
        </w:tc>
        <w:tc>
          <w:tcPr>
            <w:tcW w:w="8193" w:type="dxa"/>
            <w:tcBorders>
              <w:bottom w:val="single" w:sz="24" w:space="0" w:color="auto"/>
              <w:right w:val="single" w:sz="24" w:space="0" w:color="auto"/>
            </w:tcBorders>
          </w:tcPr>
          <w:p w14:paraId="550D7EDD" w14:textId="38299FC7" w:rsidR="004F6114" w:rsidRDefault="001D09C8">
            <w:r>
              <w:t xml:space="preserve">What is there in </w:t>
            </w:r>
            <w:r w:rsidR="004F6114">
              <w:t>th</w:t>
            </w:r>
            <w:r>
              <w:t>e ASDAN</w:t>
            </w:r>
            <w:r w:rsidR="004F6114">
              <w:t xml:space="preserve"> model that would improve assessment processes in my organisation for learners on VET programmes?</w:t>
            </w:r>
          </w:p>
          <w:p w14:paraId="0CD6A770" w14:textId="77777777" w:rsidR="004F6114" w:rsidRDefault="004F6114"/>
          <w:p w14:paraId="7E7802BA" w14:textId="77777777" w:rsidR="004F6114" w:rsidRDefault="004F6114"/>
          <w:p w14:paraId="6D73A6EA" w14:textId="77777777" w:rsidR="004F6114" w:rsidRDefault="004F6114"/>
          <w:p w14:paraId="222B3B94" w14:textId="5D0D9756" w:rsidR="004F6114" w:rsidRDefault="004F6114"/>
        </w:tc>
      </w:tr>
      <w:tr w:rsidR="001D09C8" w14:paraId="28F3866C" w14:textId="77777777" w:rsidTr="00920AEB">
        <w:tc>
          <w:tcPr>
            <w:tcW w:w="2263" w:type="dxa"/>
            <w:vMerge w:val="restart"/>
            <w:tcBorders>
              <w:top w:val="single" w:sz="24" w:space="0" w:color="auto"/>
              <w:left w:val="single" w:sz="24" w:space="0" w:color="auto"/>
            </w:tcBorders>
          </w:tcPr>
          <w:p w14:paraId="6420C0ED" w14:textId="77777777" w:rsidR="001D09C8" w:rsidRPr="004F6114" w:rsidRDefault="001D09C8" w:rsidP="001D09C8">
            <w:r w:rsidRPr="004F6114">
              <w:t xml:space="preserve">How would your organisation have to adapt current arrangements for assessing learners </w:t>
            </w:r>
            <w:proofErr w:type="gramStart"/>
            <w:r w:rsidRPr="004F6114">
              <w:t>in order to</w:t>
            </w:r>
            <w:proofErr w:type="gramEnd"/>
            <w:r w:rsidRPr="004F6114">
              <w:t xml:space="preserve"> standardise learner outcomes?</w:t>
            </w:r>
          </w:p>
          <w:p w14:paraId="291374D0" w14:textId="77777777" w:rsidR="001D09C8" w:rsidRDefault="001D09C8"/>
        </w:tc>
        <w:tc>
          <w:tcPr>
            <w:tcW w:w="8193" w:type="dxa"/>
            <w:tcBorders>
              <w:top w:val="single" w:sz="24" w:space="0" w:color="auto"/>
              <w:right w:val="single" w:sz="24" w:space="0" w:color="auto"/>
            </w:tcBorders>
          </w:tcPr>
          <w:p w14:paraId="578E17BE" w14:textId="77777777" w:rsidR="001D09C8" w:rsidRDefault="001D09C8">
            <w:r>
              <w:t>Who would be involved if my organisation wanted to align assessment procedures with national standards?</w:t>
            </w:r>
          </w:p>
          <w:p w14:paraId="6E574CE0" w14:textId="77777777" w:rsidR="001D09C8" w:rsidRDefault="001D09C8"/>
          <w:p w14:paraId="2A52110F" w14:textId="77777777" w:rsidR="001D09C8" w:rsidRDefault="001D09C8"/>
          <w:p w14:paraId="6A7516AB" w14:textId="262D1381" w:rsidR="001D09C8" w:rsidRDefault="001D09C8"/>
        </w:tc>
      </w:tr>
      <w:tr w:rsidR="001D09C8" w14:paraId="27271CB1" w14:textId="77777777" w:rsidTr="00920AEB">
        <w:tc>
          <w:tcPr>
            <w:tcW w:w="2263" w:type="dxa"/>
            <w:vMerge/>
            <w:tcBorders>
              <w:left w:val="single" w:sz="24" w:space="0" w:color="auto"/>
              <w:bottom w:val="single" w:sz="24" w:space="0" w:color="auto"/>
            </w:tcBorders>
          </w:tcPr>
          <w:p w14:paraId="3CF13A8A" w14:textId="77777777" w:rsidR="001D09C8" w:rsidRDefault="001D09C8"/>
        </w:tc>
        <w:tc>
          <w:tcPr>
            <w:tcW w:w="8193" w:type="dxa"/>
            <w:tcBorders>
              <w:bottom w:val="single" w:sz="24" w:space="0" w:color="auto"/>
              <w:right w:val="single" w:sz="24" w:space="0" w:color="auto"/>
            </w:tcBorders>
          </w:tcPr>
          <w:p w14:paraId="3C53FB43" w14:textId="77777777" w:rsidR="001D09C8" w:rsidRDefault="001D09C8">
            <w:r>
              <w:t>How long would this take?</w:t>
            </w:r>
          </w:p>
          <w:p w14:paraId="7D222A5E" w14:textId="77777777" w:rsidR="004A5C7C" w:rsidRDefault="004A5C7C"/>
          <w:p w14:paraId="492F7940" w14:textId="77777777" w:rsidR="004A5C7C" w:rsidRDefault="004A5C7C"/>
          <w:p w14:paraId="11D1A3EF" w14:textId="77777777" w:rsidR="004A5C7C" w:rsidRDefault="004A5C7C"/>
          <w:p w14:paraId="0D5F96C1" w14:textId="3D4B6E42" w:rsidR="004A5C7C" w:rsidRDefault="004A5C7C"/>
        </w:tc>
      </w:tr>
      <w:tr w:rsidR="001D09C8" w14:paraId="65241AFE" w14:textId="77777777" w:rsidTr="00920AEB">
        <w:tc>
          <w:tcPr>
            <w:tcW w:w="2263" w:type="dxa"/>
            <w:vMerge w:val="restart"/>
            <w:tcBorders>
              <w:top w:val="single" w:sz="24" w:space="0" w:color="auto"/>
              <w:left w:val="single" w:sz="24" w:space="0" w:color="auto"/>
            </w:tcBorders>
          </w:tcPr>
          <w:p w14:paraId="6517E0B2" w14:textId="77777777" w:rsidR="001D09C8" w:rsidRPr="004F6114" w:rsidRDefault="001D09C8" w:rsidP="001D09C8">
            <w:r w:rsidRPr="004F6114">
              <w:t xml:space="preserve">How might VET organisations and their mobility partners change or improve the development of graduated, structured tasks and assessments that add value to learners’ experiences and work towards meeting national standards? </w:t>
            </w:r>
          </w:p>
          <w:p w14:paraId="78F0051D" w14:textId="77777777" w:rsidR="001D09C8" w:rsidRDefault="001D09C8"/>
        </w:tc>
        <w:tc>
          <w:tcPr>
            <w:tcW w:w="8193" w:type="dxa"/>
            <w:tcBorders>
              <w:top w:val="single" w:sz="24" w:space="0" w:color="auto"/>
              <w:right w:val="single" w:sz="24" w:space="0" w:color="auto"/>
            </w:tcBorders>
          </w:tcPr>
          <w:p w14:paraId="10DB5827" w14:textId="77777777" w:rsidR="001D09C8" w:rsidRDefault="001D09C8">
            <w:r>
              <w:t>How do our mobility partners currently assess vocational leaning?</w:t>
            </w:r>
          </w:p>
          <w:p w14:paraId="094ED91A" w14:textId="77777777" w:rsidR="004A5C7C" w:rsidRDefault="004A5C7C"/>
          <w:p w14:paraId="55CD46E9" w14:textId="77777777" w:rsidR="004A5C7C" w:rsidRDefault="004A5C7C"/>
          <w:p w14:paraId="385FE5BA" w14:textId="77777777" w:rsidR="004A5C7C" w:rsidRDefault="004A5C7C"/>
          <w:p w14:paraId="2B011F8C" w14:textId="3F2638DA" w:rsidR="004A5C7C" w:rsidRDefault="004A5C7C"/>
        </w:tc>
      </w:tr>
      <w:tr w:rsidR="001D09C8" w14:paraId="4271A673" w14:textId="77777777" w:rsidTr="00920AEB">
        <w:tc>
          <w:tcPr>
            <w:tcW w:w="2263" w:type="dxa"/>
            <w:vMerge/>
            <w:tcBorders>
              <w:left w:val="single" w:sz="24" w:space="0" w:color="auto"/>
            </w:tcBorders>
          </w:tcPr>
          <w:p w14:paraId="32A6136A" w14:textId="77777777" w:rsidR="001D09C8" w:rsidRPr="004F6114" w:rsidRDefault="001D09C8" w:rsidP="001D09C8"/>
        </w:tc>
        <w:tc>
          <w:tcPr>
            <w:tcW w:w="8193" w:type="dxa"/>
            <w:tcBorders>
              <w:right w:val="single" w:sz="24" w:space="0" w:color="auto"/>
            </w:tcBorders>
          </w:tcPr>
          <w:p w14:paraId="6DE7B941" w14:textId="77777777" w:rsidR="001D09C8" w:rsidRDefault="001D09C8">
            <w:r>
              <w:t>How would we convince them of the value of developing graduated tasks?</w:t>
            </w:r>
          </w:p>
          <w:p w14:paraId="3707F8DA" w14:textId="77777777" w:rsidR="004A5C7C" w:rsidRDefault="004A5C7C"/>
          <w:p w14:paraId="57DDDFE9" w14:textId="77777777" w:rsidR="004A5C7C" w:rsidRDefault="004A5C7C"/>
          <w:p w14:paraId="4159CFD6" w14:textId="77777777" w:rsidR="004A5C7C" w:rsidRDefault="004A5C7C"/>
          <w:p w14:paraId="28438C7F" w14:textId="75E3DB1D" w:rsidR="004A5C7C" w:rsidRDefault="004A5C7C"/>
        </w:tc>
      </w:tr>
      <w:tr w:rsidR="001D09C8" w14:paraId="6CB8C51D" w14:textId="77777777" w:rsidTr="00920AEB">
        <w:tc>
          <w:tcPr>
            <w:tcW w:w="2263" w:type="dxa"/>
            <w:vMerge/>
            <w:tcBorders>
              <w:left w:val="single" w:sz="24" w:space="0" w:color="auto"/>
              <w:bottom w:val="single" w:sz="24" w:space="0" w:color="auto"/>
            </w:tcBorders>
          </w:tcPr>
          <w:p w14:paraId="28A0C665" w14:textId="77777777" w:rsidR="001D09C8" w:rsidRPr="004F6114" w:rsidRDefault="001D09C8" w:rsidP="001D09C8"/>
        </w:tc>
        <w:tc>
          <w:tcPr>
            <w:tcW w:w="8193" w:type="dxa"/>
            <w:tcBorders>
              <w:bottom w:val="single" w:sz="24" w:space="0" w:color="auto"/>
              <w:right w:val="single" w:sz="24" w:space="0" w:color="auto"/>
            </w:tcBorders>
          </w:tcPr>
          <w:p w14:paraId="32C71626" w14:textId="77777777" w:rsidR="001D09C8" w:rsidRDefault="001D09C8">
            <w:r>
              <w:t>How might we share the workload, including with other VET providers?</w:t>
            </w:r>
          </w:p>
          <w:p w14:paraId="72AB2C49" w14:textId="77777777" w:rsidR="004A5C7C" w:rsidRDefault="004A5C7C"/>
          <w:p w14:paraId="3C39C882" w14:textId="77777777" w:rsidR="004A5C7C" w:rsidRDefault="004A5C7C"/>
          <w:p w14:paraId="69560AAB" w14:textId="77777777" w:rsidR="004A5C7C" w:rsidRDefault="004A5C7C"/>
          <w:p w14:paraId="3AE7E13D" w14:textId="0FCDE850" w:rsidR="004A5C7C" w:rsidRDefault="004A5C7C"/>
        </w:tc>
      </w:tr>
    </w:tbl>
    <w:p w14:paraId="2A678732" w14:textId="60BA5211" w:rsidR="004F6114" w:rsidRDefault="004F6114"/>
    <w:p w14:paraId="66EB4C43" w14:textId="6BD98A5E" w:rsidR="004F6114" w:rsidRDefault="004F6114"/>
    <w:p w14:paraId="139E24CC" w14:textId="77777777" w:rsidR="004F6114" w:rsidRDefault="004F6114"/>
    <w:p w14:paraId="0577D307" w14:textId="18A8BCB6" w:rsidR="004F6114" w:rsidRDefault="004F6114"/>
    <w:sectPr w:rsidR="004F6114" w:rsidSect="004F611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EA716A"/>
    <w:multiLevelType w:val="hybridMultilevel"/>
    <w:tmpl w:val="9A5AFE26"/>
    <w:lvl w:ilvl="0" w:tplc="A8F8E5B2">
      <w:start w:val="1"/>
      <w:numFmt w:val="bullet"/>
      <w:lvlText w:val="•"/>
      <w:lvlJc w:val="left"/>
      <w:pPr>
        <w:tabs>
          <w:tab w:val="num" w:pos="720"/>
        </w:tabs>
        <w:ind w:left="720" w:hanging="360"/>
      </w:pPr>
      <w:rPr>
        <w:rFonts w:ascii="Arial" w:hAnsi="Arial" w:hint="default"/>
      </w:rPr>
    </w:lvl>
    <w:lvl w:ilvl="1" w:tplc="89AC13CE" w:tentative="1">
      <w:start w:val="1"/>
      <w:numFmt w:val="bullet"/>
      <w:lvlText w:val="•"/>
      <w:lvlJc w:val="left"/>
      <w:pPr>
        <w:tabs>
          <w:tab w:val="num" w:pos="1440"/>
        </w:tabs>
        <w:ind w:left="1440" w:hanging="360"/>
      </w:pPr>
      <w:rPr>
        <w:rFonts w:ascii="Arial" w:hAnsi="Arial" w:hint="default"/>
      </w:rPr>
    </w:lvl>
    <w:lvl w:ilvl="2" w:tplc="08CAAC48" w:tentative="1">
      <w:start w:val="1"/>
      <w:numFmt w:val="bullet"/>
      <w:lvlText w:val="•"/>
      <w:lvlJc w:val="left"/>
      <w:pPr>
        <w:tabs>
          <w:tab w:val="num" w:pos="2160"/>
        </w:tabs>
        <w:ind w:left="2160" w:hanging="360"/>
      </w:pPr>
      <w:rPr>
        <w:rFonts w:ascii="Arial" w:hAnsi="Arial" w:hint="default"/>
      </w:rPr>
    </w:lvl>
    <w:lvl w:ilvl="3" w:tplc="E2E4D942" w:tentative="1">
      <w:start w:val="1"/>
      <w:numFmt w:val="bullet"/>
      <w:lvlText w:val="•"/>
      <w:lvlJc w:val="left"/>
      <w:pPr>
        <w:tabs>
          <w:tab w:val="num" w:pos="2880"/>
        </w:tabs>
        <w:ind w:left="2880" w:hanging="360"/>
      </w:pPr>
      <w:rPr>
        <w:rFonts w:ascii="Arial" w:hAnsi="Arial" w:hint="default"/>
      </w:rPr>
    </w:lvl>
    <w:lvl w:ilvl="4" w:tplc="5F7EE134" w:tentative="1">
      <w:start w:val="1"/>
      <w:numFmt w:val="bullet"/>
      <w:lvlText w:val="•"/>
      <w:lvlJc w:val="left"/>
      <w:pPr>
        <w:tabs>
          <w:tab w:val="num" w:pos="3600"/>
        </w:tabs>
        <w:ind w:left="3600" w:hanging="360"/>
      </w:pPr>
      <w:rPr>
        <w:rFonts w:ascii="Arial" w:hAnsi="Arial" w:hint="default"/>
      </w:rPr>
    </w:lvl>
    <w:lvl w:ilvl="5" w:tplc="3F366DCA" w:tentative="1">
      <w:start w:val="1"/>
      <w:numFmt w:val="bullet"/>
      <w:lvlText w:val="•"/>
      <w:lvlJc w:val="left"/>
      <w:pPr>
        <w:tabs>
          <w:tab w:val="num" w:pos="4320"/>
        </w:tabs>
        <w:ind w:left="4320" w:hanging="360"/>
      </w:pPr>
      <w:rPr>
        <w:rFonts w:ascii="Arial" w:hAnsi="Arial" w:hint="default"/>
      </w:rPr>
    </w:lvl>
    <w:lvl w:ilvl="6" w:tplc="800A8932" w:tentative="1">
      <w:start w:val="1"/>
      <w:numFmt w:val="bullet"/>
      <w:lvlText w:val="•"/>
      <w:lvlJc w:val="left"/>
      <w:pPr>
        <w:tabs>
          <w:tab w:val="num" w:pos="5040"/>
        </w:tabs>
        <w:ind w:left="5040" w:hanging="360"/>
      </w:pPr>
      <w:rPr>
        <w:rFonts w:ascii="Arial" w:hAnsi="Arial" w:hint="default"/>
      </w:rPr>
    </w:lvl>
    <w:lvl w:ilvl="7" w:tplc="A5F8C80A" w:tentative="1">
      <w:start w:val="1"/>
      <w:numFmt w:val="bullet"/>
      <w:lvlText w:val="•"/>
      <w:lvlJc w:val="left"/>
      <w:pPr>
        <w:tabs>
          <w:tab w:val="num" w:pos="5760"/>
        </w:tabs>
        <w:ind w:left="5760" w:hanging="360"/>
      </w:pPr>
      <w:rPr>
        <w:rFonts w:ascii="Arial" w:hAnsi="Arial" w:hint="default"/>
      </w:rPr>
    </w:lvl>
    <w:lvl w:ilvl="8" w:tplc="B76C409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B323BB8"/>
    <w:multiLevelType w:val="hybridMultilevel"/>
    <w:tmpl w:val="6F7A2A2C"/>
    <w:lvl w:ilvl="0" w:tplc="1F8CAA4A">
      <w:start w:val="1"/>
      <w:numFmt w:val="bullet"/>
      <w:lvlText w:val="•"/>
      <w:lvlJc w:val="left"/>
      <w:pPr>
        <w:tabs>
          <w:tab w:val="num" w:pos="720"/>
        </w:tabs>
        <w:ind w:left="720" w:hanging="360"/>
      </w:pPr>
      <w:rPr>
        <w:rFonts w:ascii="Arial" w:hAnsi="Arial" w:hint="default"/>
      </w:rPr>
    </w:lvl>
    <w:lvl w:ilvl="1" w:tplc="5D4EEB3C" w:tentative="1">
      <w:start w:val="1"/>
      <w:numFmt w:val="bullet"/>
      <w:lvlText w:val="•"/>
      <w:lvlJc w:val="left"/>
      <w:pPr>
        <w:tabs>
          <w:tab w:val="num" w:pos="1440"/>
        </w:tabs>
        <w:ind w:left="1440" w:hanging="360"/>
      </w:pPr>
      <w:rPr>
        <w:rFonts w:ascii="Arial" w:hAnsi="Arial" w:hint="default"/>
      </w:rPr>
    </w:lvl>
    <w:lvl w:ilvl="2" w:tplc="F5D23ECC" w:tentative="1">
      <w:start w:val="1"/>
      <w:numFmt w:val="bullet"/>
      <w:lvlText w:val="•"/>
      <w:lvlJc w:val="left"/>
      <w:pPr>
        <w:tabs>
          <w:tab w:val="num" w:pos="2160"/>
        </w:tabs>
        <w:ind w:left="2160" w:hanging="360"/>
      </w:pPr>
      <w:rPr>
        <w:rFonts w:ascii="Arial" w:hAnsi="Arial" w:hint="default"/>
      </w:rPr>
    </w:lvl>
    <w:lvl w:ilvl="3" w:tplc="849CD8F8" w:tentative="1">
      <w:start w:val="1"/>
      <w:numFmt w:val="bullet"/>
      <w:lvlText w:val="•"/>
      <w:lvlJc w:val="left"/>
      <w:pPr>
        <w:tabs>
          <w:tab w:val="num" w:pos="2880"/>
        </w:tabs>
        <w:ind w:left="2880" w:hanging="360"/>
      </w:pPr>
      <w:rPr>
        <w:rFonts w:ascii="Arial" w:hAnsi="Arial" w:hint="default"/>
      </w:rPr>
    </w:lvl>
    <w:lvl w:ilvl="4" w:tplc="37F66294" w:tentative="1">
      <w:start w:val="1"/>
      <w:numFmt w:val="bullet"/>
      <w:lvlText w:val="•"/>
      <w:lvlJc w:val="left"/>
      <w:pPr>
        <w:tabs>
          <w:tab w:val="num" w:pos="3600"/>
        </w:tabs>
        <w:ind w:left="3600" w:hanging="360"/>
      </w:pPr>
      <w:rPr>
        <w:rFonts w:ascii="Arial" w:hAnsi="Arial" w:hint="default"/>
      </w:rPr>
    </w:lvl>
    <w:lvl w:ilvl="5" w:tplc="3522E04E" w:tentative="1">
      <w:start w:val="1"/>
      <w:numFmt w:val="bullet"/>
      <w:lvlText w:val="•"/>
      <w:lvlJc w:val="left"/>
      <w:pPr>
        <w:tabs>
          <w:tab w:val="num" w:pos="4320"/>
        </w:tabs>
        <w:ind w:left="4320" w:hanging="360"/>
      </w:pPr>
      <w:rPr>
        <w:rFonts w:ascii="Arial" w:hAnsi="Arial" w:hint="default"/>
      </w:rPr>
    </w:lvl>
    <w:lvl w:ilvl="6" w:tplc="B7D4D4F8" w:tentative="1">
      <w:start w:val="1"/>
      <w:numFmt w:val="bullet"/>
      <w:lvlText w:val="•"/>
      <w:lvlJc w:val="left"/>
      <w:pPr>
        <w:tabs>
          <w:tab w:val="num" w:pos="5040"/>
        </w:tabs>
        <w:ind w:left="5040" w:hanging="360"/>
      </w:pPr>
      <w:rPr>
        <w:rFonts w:ascii="Arial" w:hAnsi="Arial" w:hint="default"/>
      </w:rPr>
    </w:lvl>
    <w:lvl w:ilvl="7" w:tplc="D7EC3146" w:tentative="1">
      <w:start w:val="1"/>
      <w:numFmt w:val="bullet"/>
      <w:lvlText w:val="•"/>
      <w:lvlJc w:val="left"/>
      <w:pPr>
        <w:tabs>
          <w:tab w:val="num" w:pos="5760"/>
        </w:tabs>
        <w:ind w:left="5760" w:hanging="360"/>
      </w:pPr>
      <w:rPr>
        <w:rFonts w:ascii="Arial" w:hAnsi="Arial" w:hint="default"/>
      </w:rPr>
    </w:lvl>
    <w:lvl w:ilvl="8" w:tplc="D798735C"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114"/>
    <w:rsid w:val="001D09C8"/>
    <w:rsid w:val="004A5C7C"/>
    <w:rsid w:val="004F6114"/>
    <w:rsid w:val="00920AEB"/>
    <w:rsid w:val="00B221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B4141"/>
  <w15:chartTrackingRefBased/>
  <w15:docId w15:val="{B2B38C6C-E0CD-43A5-9BC6-96E8930A8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HAnsi" w:hAnsi="Tahoma" w:cs="Tahoma"/>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6114"/>
    <w:pPr>
      <w:ind w:left="720"/>
      <w:contextualSpacing/>
    </w:pPr>
    <w:rPr>
      <w:rFonts w:ascii="Times New Roman" w:eastAsia="Times New Roman" w:hAnsi="Times New Roman" w:cs="Times New Roman"/>
      <w:lang w:eastAsia="en-GB"/>
    </w:rPr>
  </w:style>
  <w:style w:type="table" w:styleId="TableGrid">
    <w:name w:val="Table Grid"/>
    <w:basedOn w:val="TableNormal"/>
    <w:uiPriority w:val="39"/>
    <w:rsid w:val="004F61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1352021">
      <w:bodyDiv w:val="1"/>
      <w:marLeft w:val="0"/>
      <w:marRight w:val="0"/>
      <w:marTop w:val="0"/>
      <w:marBottom w:val="0"/>
      <w:divBdr>
        <w:top w:val="none" w:sz="0" w:space="0" w:color="auto"/>
        <w:left w:val="none" w:sz="0" w:space="0" w:color="auto"/>
        <w:bottom w:val="none" w:sz="0" w:space="0" w:color="auto"/>
        <w:right w:val="none" w:sz="0" w:space="0" w:color="auto"/>
      </w:divBdr>
      <w:divsChild>
        <w:div w:id="658341412">
          <w:marLeft w:val="547"/>
          <w:marRight w:val="0"/>
          <w:marTop w:val="154"/>
          <w:marBottom w:val="0"/>
          <w:divBdr>
            <w:top w:val="none" w:sz="0" w:space="0" w:color="auto"/>
            <w:left w:val="none" w:sz="0" w:space="0" w:color="auto"/>
            <w:bottom w:val="none" w:sz="0" w:space="0" w:color="auto"/>
            <w:right w:val="none" w:sz="0" w:space="0" w:color="auto"/>
          </w:divBdr>
        </w:div>
        <w:div w:id="1711224693">
          <w:marLeft w:val="547"/>
          <w:marRight w:val="0"/>
          <w:marTop w:val="154"/>
          <w:marBottom w:val="0"/>
          <w:divBdr>
            <w:top w:val="none" w:sz="0" w:space="0" w:color="auto"/>
            <w:left w:val="none" w:sz="0" w:space="0" w:color="auto"/>
            <w:bottom w:val="none" w:sz="0" w:space="0" w:color="auto"/>
            <w:right w:val="none" w:sz="0" w:space="0" w:color="auto"/>
          </w:divBdr>
        </w:div>
      </w:divsChild>
    </w:div>
    <w:div w:id="1872496488">
      <w:bodyDiv w:val="1"/>
      <w:marLeft w:val="0"/>
      <w:marRight w:val="0"/>
      <w:marTop w:val="0"/>
      <w:marBottom w:val="0"/>
      <w:divBdr>
        <w:top w:val="none" w:sz="0" w:space="0" w:color="auto"/>
        <w:left w:val="none" w:sz="0" w:space="0" w:color="auto"/>
        <w:bottom w:val="none" w:sz="0" w:space="0" w:color="auto"/>
        <w:right w:val="none" w:sz="0" w:space="0" w:color="auto"/>
      </w:divBdr>
      <w:divsChild>
        <w:div w:id="294454428">
          <w:marLeft w:val="547"/>
          <w:marRight w:val="0"/>
          <w:marTop w:val="13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194</Words>
  <Characters>1106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Chiaka Amadi</dc:creator>
  <cp:keywords/>
  <dc:description/>
  <cp:lastModifiedBy>Chiaka Amadi</cp:lastModifiedBy>
  <cp:revision>2</cp:revision>
  <dcterms:created xsi:type="dcterms:W3CDTF">2018-06-24T10:32:00Z</dcterms:created>
  <dcterms:modified xsi:type="dcterms:W3CDTF">2018-06-24T10:58:00Z</dcterms:modified>
</cp:coreProperties>
</file>