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04DB9" w14:textId="77777777" w:rsidR="0088038C" w:rsidRPr="009D6562" w:rsidRDefault="0088038C">
      <w:pPr>
        <w:rPr>
          <w:b/>
        </w:rPr>
      </w:pPr>
      <w:r w:rsidRPr="009D6562">
        <w:rPr>
          <w:b/>
        </w:rPr>
        <w:t>Bloom’s Taxonomy: The affective domain</w:t>
      </w:r>
    </w:p>
    <w:p w14:paraId="41DFE56A" w14:textId="77777777" w:rsidR="007B7855" w:rsidRDefault="007B7855"/>
    <w:p w14:paraId="2AF7B3A5" w14:textId="081C546F" w:rsidR="007B7855" w:rsidRDefault="009D6562">
      <w:r>
        <w:t xml:space="preserve">When most people </w:t>
      </w:r>
      <w:r w:rsidR="00DF4FA1">
        <w:t>discuss</w:t>
      </w:r>
      <w:r>
        <w:t xml:space="preserve"> Bloom’s taxonomy, the model that is usually considered is the cognitive domain. There are, however, three domains: the cognitive, the </w:t>
      </w:r>
      <w:r w:rsidR="00DF4FA1">
        <w:t>sensory</w:t>
      </w:r>
      <w:r>
        <w:t xml:space="preserve"> and the affective. </w:t>
      </w:r>
    </w:p>
    <w:p w14:paraId="339C23F6" w14:textId="77777777" w:rsidR="007B7855" w:rsidRDefault="007B7855"/>
    <w:p w14:paraId="3A32C7FC" w14:textId="56383CDC" w:rsidR="000D2886" w:rsidRDefault="009D6562">
      <w:r>
        <w:t>The affective</w:t>
      </w:r>
      <w:r w:rsidR="005F7F09">
        <w:t xml:space="preserve"> domain</w:t>
      </w:r>
      <w:r>
        <w:t xml:space="preserve"> is </w:t>
      </w:r>
      <w:r w:rsidR="007B7855">
        <w:t>very</w:t>
      </w:r>
      <w:r>
        <w:t xml:space="preserve"> useful for us when considering intercultural communication.</w:t>
      </w:r>
      <w:r w:rsidR="000D2886">
        <w:t xml:space="preserve"> This is because </w:t>
      </w:r>
      <w:r w:rsidR="007B7855">
        <w:t>it</w:t>
      </w:r>
      <w:r w:rsidR="000D2886">
        <w:t xml:space="preserve"> provides a framework that describes </w:t>
      </w:r>
      <w:r w:rsidR="0088038C">
        <w:t>behaviours</w:t>
      </w:r>
      <w:r w:rsidR="007B7855">
        <w:t>. Behaviours are</w:t>
      </w:r>
      <w:r w:rsidR="000D2886">
        <w:t xml:space="preserve"> </w:t>
      </w:r>
      <w:r w:rsidR="0088038C">
        <w:t>connected to and motivated by feelings and sentiments</w:t>
      </w:r>
      <w:r w:rsidR="000D2886">
        <w:t>. Feelings and sentiments connect closely with</w:t>
      </w:r>
      <w:r w:rsidR="007B7855">
        <w:t xml:space="preserve"> the</w:t>
      </w:r>
      <w:r w:rsidR="0088038C">
        <w:t xml:space="preserve"> core values, attitudes and motivations</w:t>
      </w:r>
      <w:r w:rsidR="007B7855">
        <w:t xml:space="preserve"> held by individual</w:t>
      </w:r>
      <w:r w:rsidR="00386DE4">
        <w:t>s.</w:t>
      </w:r>
    </w:p>
    <w:p w14:paraId="28620675" w14:textId="77777777" w:rsidR="000D2886" w:rsidRDefault="000D2886"/>
    <w:p w14:paraId="5D2722E6" w14:textId="6ADAA69E" w:rsidR="0088038C" w:rsidRDefault="007B7855">
      <w:r>
        <w:t xml:space="preserve">The iceberg of culture </w:t>
      </w:r>
      <w:r w:rsidR="00386DE4">
        <w:t>depicted how innermost core values ultimately impacted on behaviour. One aspect of behaviour that is prominent in the field of intercultural studies is</w:t>
      </w:r>
      <w:r w:rsidR="0088038C">
        <w:t xml:space="preserve"> communication</w:t>
      </w:r>
      <w:r w:rsidR="00386DE4">
        <w:t xml:space="preserve"> – in all its forms and styles</w:t>
      </w:r>
      <w:r w:rsidR="0088038C">
        <w:t xml:space="preserve">. The way that we </w:t>
      </w:r>
      <w:r w:rsidR="00AE78B4">
        <w:t>communicate</w:t>
      </w:r>
      <w:r w:rsidR="00386DE4">
        <w:t>,</w:t>
      </w:r>
      <w:r w:rsidR="0088038C">
        <w:t xml:space="preserve"> </w:t>
      </w:r>
      <w:r w:rsidR="00386DE4">
        <w:t>regardless of the form, style, medium, purpose or audience, is inf</w:t>
      </w:r>
      <w:r w:rsidR="0088038C">
        <w:t>luenced by our values, attitudes and motivation</w:t>
      </w:r>
      <w:r w:rsidR="00386DE4">
        <w:t xml:space="preserve">s. Similarly, </w:t>
      </w:r>
      <w:r w:rsidR="0088038C">
        <w:t>the way in which</w:t>
      </w:r>
      <w:r w:rsidR="00386DE4">
        <w:t xml:space="preserve"> any communication </w:t>
      </w:r>
      <w:r w:rsidR="0088038C">
        <w:t xml:space="preserve">is received, interpreted </w:t>
      </w:r>
      <w:r w:rsidR="00386DE4">
        <w:t>or</w:t>
      </w:r>
      <w:r w:rsidR="0088038C">
        <w:t xml:space="preserve"> understood</w:t>
      </w:r>
      <w:r w:rsidR="00386DE4">
        <w:t>, is connected to those same core values</w:t>
      </w:r>
      <w:r w:rsidR="0088038C">
        <w:t xml:space="preserve">. </w:t>
      </w:r>
    </w:p>
    <w:p w14:paraId="4172A8D9" w14:textId="77777777" w:rsidR="00AE78B4" w:rsidRDefault="00AE78B4"/>
    <w:p w14:paraId="0F24738F" w14:textId="59D0F052" w:rsidR="00C3472D" w:rsidRDefault="00AE78B4">
      <w:r>
        <w:t xml:space="preserve">In </w:t>
      </w:r>
      <w:r w:rsidR="00386DE4">
        <w:t xml:space="preserve">order to </w:t>
      </w:r>
      <w:r>
        <w:t>develop communicative competence, we need to consciously work</w:t>
      </w:r>
      <w:r w:rsidR="00386DE4">
        <w:t xml:space="preserve"> </w:t>
      </w:r>
      <w:r>
        <w:t xml:space="preserve">towards </w:t>
      </w:r>
      <w:r w:rsidR="00386DE4">
        <w:t xml:space="preserve">demonstrating behaviours which are located at </w:t>
      </w:r>
      <w:r>
        <w:t xml:space="preserve">the higher </w:t>
      </w:r>
      <w:r w:rsidR="00386DE4">
        <w:t xml:space="preserve">end of </w:t>
      </w:r>
      <w:r w:rsidR="00C3472D">
        <w:t xml:space="preserve">the </w:t>
      </w:r>
      <w:r w:rsidR="00386DE4">
        <w:t xml:space="preserve">affective </w:t>
      </w:r>
      <w:r>
        <w:t xml:space="preserve">taxonomy. </w:t>
      </w:r>
      <w:r w:rsidR="00C3472D">
        <w:t xml:space="preserve">It is even more important to operate at the higher levels of the affective domain </w:t>
      </w:r>
      <w:r>
        <w:t xml:space="preserve">when communication </w:t>
      </w:r>
      <w:r w:rsidR="00C3472D">
        <w:t>will</w:t>
      </w:r>
      <w:r>
        <w:t xml:space="preserve"> take place across a cultural threshold</w:t>
      </w:r>
      <w:r w:rsidR="00C3472D">
        <w:t>. This is because, moving from one cultural ‘location’ to another</w:t>
      </w:r>
      <w:r w:rsidR="005F7F09">
        <w:t>,</w:t>
      </w:r>
      <w:r w:rsidR="00C3472D">
        <w:t xml:space="preserve"> can be like entering an area of blurred meanings, which can, on occasions, impede or inhibit communication or lead to a greater number of miscommunications taking place.</w:t>
      </w:r>
    </w:p>
    <w:p w14:paraId="2283BD09" w14:textId="77777777" w:rsidR="00C3472D" w:rsidRDefault="00C3472D"/>
    <w:p w14:paraId="66C457C2" w14:textId="4C19B7AD" w:rsidR="00AE78B4" w:rsidRDefault="00C3472D">
      <w:r>
        <w:t xml:space="preserve">Bloom’s taxonomy of the affective domain can be represented a </w:t>
      </w:r>
      <w:r w:rsidR="00AE78B4">
        <w:t>pyramid</w:t>
      </w:r>
      <w:r w:rsidR="00AF4C3D">
        <w:t>. The behaviours at the base of the pyramid are those that require the least conscious action. As we move up the pyramid from the base, we can begin to chart a journey</w:t>
      </w:r>
      <w:r w:rsidR="00AE78B4">
        <w:t xml:space="preserve"> towards maximising </w:t>
      </w:r>
      <w:r w:rsidR="00AF4C3D">
        <w:t>our</w:t>
      </w:r>
      <w:r w:rsidR="00AE78B4">
        <w:t xml:space="preserve"> communicative competence. </w:t>
      </w:r>
    </w:p>
    <w:p w14:paraId="11A83C85" w14:textId="77777777" w:rsidR="00AF4C3D" w:rsidRDefault="00AF4C3D"/>
    <w:p w14:paraId="15679FE5" w14:textId="2F510539" w:rsidR="00AE78B4" w:rsidRDefault="00AE78B4">
      <w:r>
        <w:t xml:space="preserve">The </w:t>
      </w:r>
      <w:r w:rsidR="00CE740F">
        <w:t>pyramid</w:t>
      </w:r>
      <w:r w:rsidR="00960FCB">
        <w:t xml:space="preserve"> </w:t>
      </w:r>
      <w:r>
        <w:t>model is useful</w:t>
      </w:r>
      <w:r w:rsidR="00BE6D75">
        <w:t xml:space="preserve"> here,</w:t>
      </w:r>
      <w:r>
        <w:t xml:space="preserve"> in that it </w:t>
      </w:r>
      <w:r w:rsidR="00960FCB">
        <w:t>shows us how</w:t>
      </w:r>
      <w:r>
        <w:t xml:space="preserve"> the almost universal</w:t>
      </w:r>
      <w:r w:rsidR="00960FCB">
        <w:t xml:space="preserve"> aspect of communication, that</w:t>
      </w:r>
      <w:r>
        <w:t xml:space="preserve"> of receiving phenomena</w:t>
      </w:r>
      <w:r w:rsidR="00960FCB">
        <w:t>, prompts a response to what has been received. From there, we begin to ascribe value(s) to what has been received and then organise the information so as to make sense of it. Eventually we internalise the information</w:t>
      </w:r>
      <w:r>
        <w:t xml:space="preserve"> that </w:t>
      </w:r>
      <w:r w:rsidR="00960FCB">
        <w:t xml:space="preserve">has been </w:t>
      </w:r>
      <w:r>
        <w:t>communicated</w:t>
      </w:r>
      <w:r w:rsidR="00960FCB">
        <w:t>. To extend a</w:t>
      </w:r>
      <w:r w:rsidR="005F7F09">
        <w:t>nother</w:t>
      </w:r>
      <w:bookmarkStart w:id="0" w:name="_GoBack"/>
      <w:bookmarkEnd w:id="0"/>
      <w:r w:rsidR="00960FCB">
        <w:t xml:space="preserve"> metaphor, it could be said that we position it within our personal iceberg. </w:t>
      </w:r>
    </w:p>
    <w:p w14:paraId="11542D65" w14:textId="77777777" w:rsidR="00960FCB" w:rsidRDefault="00960FCB"/>
    <w:p w14:paraId="44DC7712" w14:textId="22746ABB" w:rsidR="00243665" w:rsidRDefault="00243665"/>
    <w:sectPr w:rsidR="00243665" w:rsidSect="00C63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6F334" w14:textId="77777777" w:rsidR="00226F71" w:rsidRDefault="00226F71" w:rsidP="00226F71">
      <w:r>
        <w:separator/>
      </w:r>
    </w:p>
  </w:endnote>
  <w:endnote w:type="continuationSeparator" w:id="0">
    <w:p w14:paraId="19588357" w14:textId="77777777" w:rsidR="00226F71" w:rsidRDefault="00226F71" w:rsidP="002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77A7" w14:textId="77777777" w:rsidR="00226F71" w:rsidRDefault="00226F71" w:rsidP="00226F71">
      <w:r>
        <w:separator/>
      </w:r>
    </w:p>
  </w:footnote>
  <w:footnote w:type="continuationSeparator" w:id="0">
    <w:p w14:paraId="57B7CA1B" w14:textId="77777777" w:rsidR="00226F71" w:rsidRDefault="00226F71" w:rsidP="00226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5AD"/>
    <w:multiLevelType w:val="hybridMultilevel"/>
    <w:tmpl w:val="525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E0023"/>
    <w:multiLevelType w:val="hybridMultilevel"/>
    <w:tmpl w:val="EDE6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51F48"/>
    <w:multiLevelType w:val="hybridMultilevel"/>
    <w:tmpl w:val="6E5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5A1881"/>
    <w:multiLevelType w:val="hybridMultilevel"/>
    <w:tmpl w:val="642E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23E92"/>
    <w:multiLevelType w:val="hybridMultilevel"/>
    <w:tmpl w:val="5C60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8C"/>
    <w:rsid w:val="000D2886"/>
    <w:rsid w:val="000E254D"/>
    <w:rsid w:val="001C706B"/>
    <w:rsid w:val="00226F71"/>
    <w:rsid w:val="00243665"/>
    <w:rsid w:val="00377957"/>
    <w:rsid w:val="00386DE4"/>
    <w:rsid w:val="00434822"/>
    <w:rsid w:val="00534CC8"/>
    <w:rsid w:val="00584DF5"/>
    <w:rsid w:val="00596A7C"/>
    <w:rsid w:val="005F7F09"/>
    <w:rsid w:val="006E0F2F"/>
    <w:rsid w:val="007A2BD8"/>
    <w:rsid w:val="007B7855"/>
    <w:rsid w:val="007F43A3"/>
    <w:rsid w:val="00842B95"/>
    <w:rsid w:val="0088038C"/>
    <w:rsid w:val="0091093A"/>
    <w:rsid w:val="00960FCB"/>
    <w:rsid w:val="009D6562"/>
    <w:rsid w:val="00A33862"/>
    <w:rsid w:val="00A650A6"/>
    <w:rsid w:val="00AE78B4"/>
    <w:rsid w:val="00AF0F6C"/>
    <w:rsid w:val="00AF4C3D"/>
    <w:rsid w:val="00B54F20"/>
    <w:rsid w:val="00BE6D75"/>
    <w:rsid w:val="00C16A43"/>
    <w:rsid w:val="00C3472D"/>
    <w:rsid w:val="00C63721"/>
    <w:rsid w:val="00C958E0"/>
    <w:rsid w:val="00CE740F"/>
    <w:rsid w:val="00DF4FA1"/>
    <w:rsid w:val="00E61F2E"/>
    <w:rsid w:val="00E7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2E7E"/>
  <w15:chartTrackingRefBased/>
  <w15:docId w15:val="{069CF9A9-AE23-4378-AD53-9803D2A9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38C"/>
    <w:pPr>
      <w:spacing w:before="100" w:beforeAutospacing="1" w:after="100" w:afterAutospacing="1" w:line="324" w:lineRule="auto"/>
    </w:pPr>
    <w:rPr>
      <w:rFonts w:ascii="Arial" w:eastAsia="Times New Roman" w:hAnsi="Arial" w:cs="Arial"/>
      <w:spacing w:val="11"/>
      <w:lang w:eastAsia="en-GB"/>
    </w:rPr>
  </w:style>
  <w:style w:type="table" w:styleId="TableGrid">
    <w:name w:val="Table Grid"/>
    <w:basedOn w:val="TableNormal"/>
    <w:uiPriority w:val="39"/>
    <w:rsid w:val="0088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038C"/>
    <w:rPr>
      <w:color w:val="0000FF"/>
      <w:u w:val="single"/>
    </w:rPr>
  </w:style>
  <w:style w:type="paragraph" w:styleId="ListParagraph">
    <w:name w:val="List Paragraph"/>
    <w:basedOn w:val="Normal"/>
    <w:uiPriority w:val="34"/>
    <w:qFormat/>
    <w:rsid w:val="00434822"/>
    <w:pPr>
      <w:ind w:left="720"/>
      <w:contextualSpacing/>
    </w:pPr>
  </w:style>
  <w:style w:type="paragraph" w:styleId="FootnoteText">
    <w:name w:val="footnote text"/>
    <w:basedOn w:val="Normal"/>
    <w:link w:val="FootnoteTextChar"/>
    <w:uiPriority w:val="99"/>
    <w:semiHidden/>
    <w:unhideWhenUsed/>
    <w:rsid w:val="00226F71"/>
    <w:rPr>
      <w:sz w:val="20"/>
      <w:szCs w:val="20"/>
    </w:rPr>
  </w:style>
  <w:style w:type="character" w:customStyle="1" w:styleId="FootnoteTextChar">
    <w:name w:val="Footnote Text Char"/>
    <w:basedOn w:val="DefaultParagraphFont"/>
    <w:link w:val="FootnoteText"/>
    <w:uiPriority w:val="99"/>
    <w:semiHidden/>
    <w:rsid w:val="00226F71"/>
    <w:rPr>
      <w:sz w:val="20"/>
      <w:szCs w:val="20"/>
    </w:rPr>
  </w:style>
  <w:style w:type="character" w:styleId="FootnoteReference">
    <w:name w:val="footnote reference"/>
    <w:basedOn w:val="DefaultParagraphFont"/>
    <w:uiPriority w:val="99"/>
    <w:semiHidden/>
    <w:unhideWhenUsed/>
    <w:rsid w:val="00226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8524">
      <w:bodyDiv w:val="1"/>
      <w:marLeft w:val="0"/>
      <w:marRight w:val="0"/>
      <w:marTop w:val="0"/>
      <w:marBottom w:val="0"/>
      <w:divBdr>
        <w:top w:val="none" w:sz="0" w:space="0" w:color="auto"/>
        <w:left w:val="none" w:sz="0" w:space="0" w:color="auto"/>
        <w:bottom w:val="none" w:sz="0" w:space="0" w:color="auto"/>
        <w:right w:val="none" w:sz="0" w:space="0" w:color="auto"/>
      </w:divBdr>
      <w:divsChild>
        <w:div w:id="894387155">
          <w:marLeft w:val="0"/>
          <w:marRight w:val="0"/>
          <w:marTop w:val="0"/>
          <w:marBottom w:val="0"/>
          <w:divBdr>
            <w:top w:val="single" w:sz="6" w:space="0" w:color="000000"/>
            <w:left w:val="single" w:sz="6" w:space="0" w:color="000000"/>
            <w:bottom w:val="single" w:sz="6" w:space="0" w:color="000000"/>
            <w:right w:val="single" w:sz="6" w:space="0" w:color="000000"/>
          </w:divBdr>
          <w:divsChild>
            <w:div w:id="1384910840">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6483-7EB1-4C54-95D9-C371A69B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12</cp:revision>
  <dcterms:created xsi:type="dcterms:W3CDTF">2017-11-21T15:10:00Z</dcterms:created>
  <dcterms:modified xsi:type="dcterms:W3CDTF">2017-11-29T07:38:00Z</dcterms:modified>
</cp:coreProperties>
</file>